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24DBC" w:rsidRDefault="00A039D7">
      <w:pPr>
        <w:rPr>
          <w:rFonts w:ascii="Arial" w:hAnsi="Arial" w:cs="Arial"/>
          <w:bCs/>
          <w:i/>
          <w:iCs/>
          <w:sz w:val="20"/>
          <w:szCs w:val="20"/>
        </w:rPr>
      </w:pPr>
      <w:r>
        <w:rPr>
          <w:rFonts w:ascii="Arial" w:hAnsi="Arial" w:cs="Arial"/>
          <w:bCs/>
          <w:i/>
          <w:iCs/>
          <w:sz w:val="20"/>
          <w:szCs w:val="20"/>
        </w:rPr>
        <w:t xml:space="preserve">Załącznik do Uchwały Nr .........Zebrania Przedstawicieli Podlasko-Mazurskiego Banku Spółdzielczego w Zabłudowie z dnia ………… </w:t>
      </w: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E24DBC">
      <w:pPr>
        <w:spacing w:after="120"/>
        <w:jc w:val="center"/>
        <w:rPr>
          <w:rFonts w:ascii="Arial" w:hAnsi="Arial" w:cs="Arial"/>
          <w:sz w:val="20"/>
          <w:szCs w:val="20"/>
        </w:rPr>
      </w:pPr>
    </w:p>
    <w:p w:rsidR="00E24DBC" w:rsidRDefault="00A039D7">
      <w:pPr>
        <w:spacing w:after="120"/>
        <w:jc w:val="center"/>
        <w:rPr>
          <w:rFonts w:ascii="Arial" w:hAnsi="Arial" w:cs="Arial"/>
          <w:i/>
          <w:sz w:val="20"/>
          <w:szCs w:val="20"/>
        </w:rPr>
      </w:pPr>
      <w:r>
        <w:rPr>
          <w:rFonts w:ascii="Arial" w:hAnsi="Arial" w:cs="Arial"/>
          <w:i/>
          <w:sz w:val="20"/>
          <w:szCs w:val="20"/>
        </w:rPr>
        <w:tab/>
      </w:r>
    </w:p>
    <w:p w:rsidR="00E24DBC" w:rsidRDefault="00A039D7">
      <w:pPr>
        <w:spacing w:after="120"/>
        <w:jc w:val="both"/>
        <w:rPr>
          <w:rFonts w:ascii="Arial" w:hAnsi="Arial" w:cs="Arial"/>
          <w:b/>
          <w:sz w:val="32"/>
          <w:szCs w:val="32"/>
        </w:rPr>
      </w:pPr>
      <w:r>
        <w:rPr>
          <w:rFonts w:ascii="Arial" w:hAnsi="Arial" w:cs="Arial"/>
          <w:b/>
          <w:sz w:val="32"/>
          <w:szCs w:val="32"/>
        </w:rPr>
        <w:t xml:space="preserve">Polityka oceny odpowiedniości członków Rady Nadzorczej </w:t>
      </w:r>
    </w:p>
    <w:p w:rsidR="00E24DBC" w:rsidRDefault="00E24DBC">
      <w:pPr>
        <w:spacing w:after="120"/>
        <w:jc w:val="both"/>
        <w:rPr>
          <w:rFonts w:ascii="Arial" w:hAnsi="Arial" w:cs="Arial"/>
          <w:sz w:val="20"/>
          <w:szCs w:val="20"/>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u w:val="single"/>
        </w:rPr>
      </w:pPr>
    </w:p>
    <w:p w:rsidR="00E24DBC" w:rsidRDefault="00E24DBC">
      <w:pPr>
        <w:spacing w:after="0"/>
        <w:rPr>
          <w:rFonts w:ascii="Arial" w:hAnsi="Arial" w:cs="Arial"/>
          <w:color w:val="FF00FF"/>
        </w:rPr>
      </w:pPr>
    </w:p>
    <w:tbl>
      <w:tblPr>
        <w:tblW w:w="8361" w:type="dxa"/>
        <w:tblLayout w:type="fixed"/>
        <w:tblCellMar>
          <w:left w:w="70" w:type="dxa"/>
          <w:right w:w="70" w:type="dxa"/>
        </w:tblCellMar>
        <w:tblLook w:val="0000" w:firstRow="0" w:lastRow="0" w:firstColumn="0" w:lastColumn="0" w:noHBand="0" w:noVBand="0"/>
      </w:tblPr>
      <w:tblGrid>
        <w:gridCol w:w="8361"/>
      </w:tblGrid>
      <w:tr w:rsidR="00E24DBC">
        <w:tc>
          <w:tcPr>
            <w:tcW w:w="8361" w:type="dxa"/>
            <w:tcBorders>
              <w:top w:val="single" w:sz="4" w:space="0" w:color="000000"/>
            </w:tcBorders>
          </w:tcPr>
          <w:p w:rsidR="00E24DBC" w:rsidRDefault="00E24DBC">
            <w:pPr>
              <w:widowControl w:val="0"/>
              <w:spacing w:after="120"/>
              <w:jc w:val="center"/>
              <w:rPr>
                <w:rFonts w:ascii="Arial" w:hAnsi="Arial" w:cs="Arial"/>
                <w:b/>
              </w:rPr>
            </w:pPr>
          </w:p>
          <w:p w:rsidR="00E24DBC" w:rsidRDefault="00A039D7">
            <w:pPr>
              <w:widowControl w:val="0"/>
              <w:spacing w:after="120"/>
              <w:jc w:val="center"/>
              <w:rPr>
                <w:rFonts w:ascii="Arial" w:hAnsi="Arial" w:cs="Arial"/>
                <w:b/>
              </w:rPr>
            </w:pPr>
            <w:r>
              <w:rPr>
                <w:rFonts w:ascii="Arial" w:hAnsi="Arial" w:cs="Arial"/>
                <w:b/>
              </w:rPr>
              <w:t>……………….., 2024 r.</w:t>
            </w:r>
          </w:p>
        </w:tc>
      </w:tr>
    </w:tbl>
    <w:p w:rsidR="00E24DBC" w:rsidRDefault="00E24DBC">
      <w:pPr>
        <w:rPr>
          <w:rFonts w:ascii="Arial" w:eastAsia="Times New Roman" w:hAnsi="Arial" w:cs="Arial"/>
          <w:b/>
          <w:sz w:val="24"/>
          <w:szCs w:val="24"/>
          <w:u w:val="single"/>
          <w:lang w:eastAsia="pl-PL"/>
        </w:rPr>
      </w:pPr>
    </w:p>
    <w:sdt>
      <w:sdtPr>
        <w:id w:val="-1911233601"/>
        <w:docPartObj>
          <w:docPartGallery w:val="Table of Contents"/>
          <w:docPartUnique/>
        </w:docPartObj>
      </w:sdtPr>
      <w:sdtEndPr/>
      <w:sdtContent>
        <w:p w:rsidR="00E24DBC" w:rsidRDefault="00A039D7">
          <w:pPr>
            <w:rPr>
              <w:rFonts w:ascii="Arial" w:eastAsia="Times New Roman" w:hAnsi="Arial" w:cs="Arial"/>
              <w:b/>
              <w:sz w:val="24"/>
              <w:szCs w:val="24"/>
              <w:u w:val="single"/>
              <w:lang w:eastAsia="pl-PL"/>
            </w:rPr>
          </w:pPr>
          <w:r>
            <w:fldChar w:fldCharType="begin"/>
          </w:r>
          <w:r>
            <w:rPr>
              <w:rStyle w:val="czeindeksu"/>
              <w:rFonts w:ascii="Arial" w:hAnsi="Arial" w:cs="Arial"/>
              <w:webHidden/>
              <w:lang w:eastAsia="pl-PL"/>
            </w:rPr>
            <w:instrText xml:space="preserve"> TOC \z \o "1-3" \u \h</w:instrText>
          </w:r>
          <w:r>
            <w:rPr>
              <w:rStyle w:val="czeindeksu"/>
              <w:rFonts w:ascii="Arial" w:hAnsi="Arial" w:cs="Arial"/>
              <w:lang w:eastAsia="pl-PL"/>
            </w:rPr>
            <w:fldChar w:fldCharType="separate"/>
          </w:r>
          <w:hyperlink w:anchor="_Toc164253556">
            <w:r>
              <w:rPr>
                <w:rStyle w:val="czeindeksu"/>
                <w:rFonts w:ascii="Arial" w:hAnsi="Arial" w:cs="Arial"/>
                <w:webHidden/>
                <w:lang w:eastAsia="pl-PL"/>
              </w:rPr>
              <w:t>Rozdział 1. Postanowienia ogólne……………………………………………………………..</w:t>
            </w:r>
            <w:r>
              <w:rPr>
                <w:webHidden/>
              </w:rPr>
              <w:fldChar w:fldCharType="begin"/>
            </w:r>
            <w:r>
              <w:rPr>
                <w:webHidden/>
              </w:rPr>
              <w:instrText>PAGEREF _Toc164253556 \h</w:instrText>
            </w:r>
            <w:r>
              <w:rPr>
                <w:webHidden/>
              </w:rPr>
            </w:r>
            <w:r>
              <w:rPr>
                <w:webHidden/>
              </w:rPr>
              <w:fldChar w:fldCharType="separate"/>
            </w:r>
            <w:r>
              <w:rPr>
                <w:rStyle w:val="czeindeksu"/>
              </w:rPr>
              <w:tab/>
              <w:t>………3</w:t>
            </w:r>
            <w:r>
              <w:rPr>
                <w:webHidden/>
              </w:rPr>
              <w:fldChar w:fldCharType="end"/>
            </w:r>
          </w:hyperlink>
        </w:p>
        <w:p w:rsidR="00E24DBC" w:rsidRDefault="00A039D7">
          <w:pPr>
            <w:pStyle w:val="Spistreci1"/>
            <w:rPr>
              <w:rFonts w:eastAsiaTheme="minorEastAsia"/>
              <w:lang w:eastAsia="pl-PL"/>
            </w:rPr>
          </w:pPr>
          <w:hyperlink w:anchor="_Toc164253557">
            <w:r>
              <w:rPr>
                <w:rStyle w:val="czeindeksu"/>
                <w:rFonts w:ascii="Arial" w:hAnsi="Arial" w:cs="Arial"/>
                <w:webHidden/>
                <w:lang w:eastAsia="pl-PL"/>
              </w:rPr>
              <w:t>Rozdział 2. Kryteria oceny oraz zdarzenia uzasadniające przeprowadzenie oceny</w:t>
            </w:r>
            <w:r>
              <w:rPr>
                <w:webHidden/>
              </w:rPr>
              <w:fldChar w:fldCharType="begin"/>
            </w:r>
            <w:r>
              <w:rPr>
                <w:webHidden/>
              </w:rPr>
              <w:instrText>PAGEREF _Toc164253557 \h</w:instrText>
            </w:r>
            <w:r>
              <w:rPr>
                <w:webHidden/>
              </w:rPr>
            </w:r>
            <w:r>
              <w:rPr>
                <w:webHidden/>
              </w:rPr>
              <w:fldChar w:fldCharType="separate"/>
            </w:r>
            <w:r>
              <w:rPr>
                <w:rStyle w:val="czeindeksu"/>
              </w:rPr>
              <w:tab/>
              <w:t>4</w:t>
            </w:r>
            <w:r>
              <w:rPr>
                <w:webHidden/>
              </w:rPr>
              <w:fldChar w:fldCharType="end"/>
            </w:r>
          </w:hyperlink>
        </w:p>
        <w:p w:rsidR="00E24DBC" w:rsidRDefault="00A039D7">
          <w:pPr>
            <w:pStyle w:val="Spistreci1"/>
            <w:rPr>
              <w:rFonts w:eastAsiaTheme="minorEastAsia"/>
              <w:lang w:eastAsia="pl-PL"/>
            </w:rPr>
          </w:pPr>
          <w:hyperlink w:anchor="_Toc164253558">
            <w:r>
              <w:rPr>
                <w:rStyle w:val="czeindeksu"/>
                <w:rFonts w:ascii="Arial" w:eastAsia="Times New Roman" w:hAnsi="Arial" w:cs="Arial"/>
                <w:webHidden/>
                <w:lang w:eastAsia="pl-PL"/>
              </w:rPr>
              <w:t>Rozdział 3. Przebieg procesu oceny odpowiedniości</w:t>
            </w:r>
            <w:r>
              <w:rPr>
                <w:webHidden/>
              </w:rPr>
              <w:fldChar w:fldCharType="begin"/>
            </w:r>
            <w:r>
              <w:rPr>
                <w:webHidden/>
              </w:rPr>
              <w:instrText>PAGEREF _Toc164253558 \h</w:instrText>
            </w:r>
            <w:r>
              <w:rPr>
                <w:webHidden/>
              </w:rPr>
            </w:r>
            <w:r>
              <w:rPr>
                <w:webHidden/>
              </w:rPr>
              <w:fldChar w:fldCharType="separate"/>
            </w:r>
            <w:r>
              <w:rPr>
                <w:rStyle w:val="czeindeksu"/>
              </w:rPr>
              <w:tab/>
              <w:t>7</w:t>
            </w:r>
            <w:r>
              <w:rPr>
                <w:webHidden/>
              </w:rPr>
              <w:fldChar w:fldCharType="end"/>
            </w:r>
          </w:hyperlink>
        </w:p>
        <w:p w:rsidR="00E24DBC" w:rsidRDefault="00A039D7">
          <w:pPr>
            <w:pStyle w:val="Spistreci1"/>
            <w:rPr>
              <w:rFonts w:eastAsiaTheme="minorEastAsia"/>
              <w:lang w:eastAsia="pl-PL"/>
            </w:rPr>
          </w:pPr>
          <w:hyperlink w:anchor="_Toc164253559">
            <w:r>
              <w:rPr>
                <w:rStyle w:val="czeindeksu"/>
                <w:rFonts w:ascii="Arial" w:hAnsi="Arial" w:cs="Arial"/>
                <w:webHidden/>
                <w:lang w:eastAsia="pl-PL"/>
              </w:rPr>
              <w:t>Rozdział 4. Środki naprawcze</w:t>
            </w:r>
            <w:r>
              <w:rPr>
                <w:webHidden/>
              </w:rPr>
              <w:fldChar w:fldCharType="begin"/>
            </w:r>
            <w:r>
              <w:rPr>
                <w:webHidden/>
              </w:rPr>
              <w:instrText>PAGEREF _Toc164253559 \h</w:instrText>
            </w:r>
            <w:r>
              <w:rPr>
                <w:webHidden/>
              </w:rPr>
            </w:r>
            <w:r>
              <w:rPr>
                <w:webHidden/>
              </w:rPr>
              <w:fldChar w:fldCharType="separate"/>
            </w:r>
            <w:r>
              <w:rPr>
                <w:rStyle w:val="czeindeksu"/>
              </w:rPr>
              <w:tab/>
              <w:t>10</w:t>
            </w:r>
            <w:r>
              <w:rPr>
                <w:webHidden/>
              </w:rPr>
              <w:fldChar w:fldCharType="end"/>
            </w:r>
          </w:hyperlink>
        </w:p>
        <w:p w:rsidR="00E24DBC" w:rsidRDefault="00A039D7">
          <w:pPr>
            <w:pStyle w:val="Spistreci1"/>
            <w:rPr>
              <w:rFonts w:eastAsiaTheme="minorEastAsia"/>
              <w:lang w:eastAsia="pl-PL"/>
            </w:rPr>
          </w:pPr>
          <w:hyperlink w:anchor="_Toc164253560">
            <w:r>
              <w:rPr>
                <w:rStyle w:val="czeindeksu"/>
                <w:rFonts w:ascii="Arial" w:hAnsi="Arial" w:cs="Arial"/>
                <w:webHidden/>
                <w:lang w:eastAsia="pl-PL"/>
              </w:rPr>
              <w:t>Rozdział 5. Wprowadzenie w obowiązki i szkolenia członków Zarządu i Rady Nadzorczej, plany sukcesji</w:t>
            </w:r>
            <w:r>
              <w:rPr>
                <w:webHidden/>
              </w:rPr>
              <w:fldChar w:fldCharType="begin"/>
            </w:r>
            <w:r>
              <w:rPr>
                <w:webHidden/>
              </w:rPr>
              <w:instrText>PAGEREF _Toc164253560 \h</w:instrText>
            </w:r>
            <w:r>
              <w:rPr>
                <w:webHidden/>
              </w:rPr>
            </w:r>
            <w:r>
              <w:rPr>
                <w:webHidden/>
              </w:rPr>
              <w:fldChar w:fldCharType="separate"/>
            </w:r>
            <w:r>
              <w:rPr>
                <w:rStyle w:val="czeindeksu"/>
              </w:rPr>
              <w:tab/>
              <w:t>10</w:t>
            </w:r>
            <w:r>
              <w:rPr>
                <w:webHidden/>
              </w:rPr>
              <w:fldChar w:fldCharType="end"/>
            </w:r>
          </w:hyperlink>
          <w:r>
            <w:rPr>
              <w:rStyle w:val="czeindeksu"/>
            </w:rPr>
            <w:fldChar w:fldCharType="end"/>
          </w:r>
        </w:p>
      </w:sdtContent>
    </w:sdt>
    <w:p w:rsidR="00E24DBC" w:rsidRDefault="00E24DBC"/>
    <w:p w:rsidR="00E24DBC" w:rsidRDefault="00E24DBC">
      <w:pPr>
        <w:spacing w:after="0"/>
        <w:rPr>
          <w:rFonts w:ascii="Arial" w:hAnsi="Arial" w:cs="Arial"/>
          <w:lang w:eastAsia="pl-PL"/>
        </w:rPr>
      </w:pPr>
    </w:p>
    <w:p w:rsidR="00E24DBC" w:rsidRDefault="00A039D7" w:rsidP="00A039D7">
      <w:pPr>
        <w:spacing w:after="0"/>
        <w:jc w:val="both"/>
        <w:rPr>
          <w:rFonts w:ascii="Arial" w:hAnsi="Arial" w:cs="Arial"/>
          <w:lang w:eastAsia="pl-PL"/>
        </w:rPr>
      </w:pPr>
      <w:r>
        <w:rPr>
          <w:rFonts w:ascii="Arial" w:hAnsi="Arial" w:cs="Arial"/>
          <w:lang w:eastAsia="pl-PL"/>
        </w:rPr>
        <w:t>Załączniki :</w:t>
      </w:r>
    </w:p>
    <w:p w:rsidR="00E24DBC" w:rsidRDefault="00A039D7" w:rsidP="00A039D7">
      <w:pPr>
        <w:spacing w:after="0"/>
        <w:jc w:val="both"/>
        <w:rPr>
          <w:rFonts w:ascii="Arial" w:hAnsi="Arial" w:cs="Arial"/>
          <w:lang w:eastAsia="pl-PL"/>
        </w:rPr>
      </w:pPr>
      <w:r>
        <w:rPr>
          <w:rFonts w:ascii="Arial" w:hAnsi="Arial" w:cs="Arial"/>
          <w:lang w:eastAsia="pl-PL"/>
        </w:rPr>
        <w:t xml:space="preserve">1. Załącznik Nr 1 – Formularz oceny </w:t>
      </w:r>
      <w:r>
        <w:rPr>
          <w:rFonts w:ascii="Arial" w:hAnsi="Arial" w:cs="Arial"/>
          <w:lang w:eastAsia="pl-PL"/>
        </w:rPr>
        <w:t>indywidualnej Kandydata/członka Rady Nadzorczej,</w:t>
      </w:r>
    </w:p>
    <w:p w:rsidR="00E24DBC" w:rsidRDefault="00A039D7" w:rsidP="00A039D7">
      <w:pPr>
        <w:spacing w:after="0"/>
        <w:jc w:val="both"/>
        <w:rPr>
          <w:rFonts w:ascii="Arial" w:hAnsi="Arial" w:cs="Arial"/>
          <w:lang w:eastAsia="pl-PL"/>
        </w:rPr>
      </w:pPr>
      <w:r>
        <w:rPr>
          <w:rFonts w:ascii="Arial" w:hAnsi="Arial" w:cs="Arial"/>
          <w:lang w:eastAsia="pl-PL"/>
        </w:rPr>
        <w:t>2. Załącznik Nr 2 – Formularz oceny zbiorowej Rady Nadzorczej,</w:t>
      </w:r>
    </w:p>
    <w:p w:rsidR="00E24DBC" w:rsidRDefault="00A039D7" w:rsidP="00A039D7">
      <w:pPr>
        <w:spacing w:after="0"/>
        <w:jc w:val="both"/>
        <w:rPr>
          <w:rFonts w:ascii="Arial" w:hAnsi="Arial" w:cs="Arial"/>
          <w:lang w:eastAsia="pl-PL"/>
        </w:rPr>
      </w:pPr>
      <w:r>
        <w:rPr>
          <w:rFonts w:ascii="Arial" w:hAnsi="Arial" w:cs="Arial"/>
          <w:lang w:eastAsia="pl-PL"/>
        </w:rPr>
        <w:t>3. Załącznik Nr 3 – Formularz oceny zbiorowej Komitetu Audytu,</w:t>
      </w:r>
    </w:p>
    <w:p w:rsidR="00E24DBC" w:rsidRDefault="00A039D7" w:rsidP="00A039D7">
      <w:pPr>
        <w:spacing w:after="0"/>
        <w:jc w:val="both"/>
        <w:rPr>
          <w:rFonts w:ascii="Arial" w:hAnsi="Arial" w:cs="Arial"/>
          <w:lang w:eastAsia="pl-PL"/>
        </w:rPr>
      </w:pPr>
      <w:r>
        <w:rPr>
          <w:rFonts w:ascii="Arial" w:hAnsi="Arial" w:cs="Arial"/>
          <w:lang w:eastAsia="pl-PL"/>
        </w:rPr>
        <w:t>4. Załącznik Nr 4 – Wymagany poziom kompetencji do oceny indywidulanej,</w:t>
      </w:r>
    </w:p>
    <w:p w:rsidR="00E24DBC" w:rsidRDefault="00A039D7" w:rsidP="00A039D7">
      <w:pPr>
        <w:spacing w:after="0"/>
        <w:jc w:val="both"/>
        <w:rPr>
          <w:rFonts w:ascii="Arial" w:hAnsi="Arial" w:cs="Arial"/>
          <w:lang w:eastAsia="pl-PL"/>
        </w:rPr>
      </w:pPr>
      <w:r>
        <w:rPr>
          <w:rFonts w:ascii="Arial" w:hAnsi="Arial" w:cs="Arial"/>
          <w:lang w:eastAsia="pl-PL"/>
        </w:rPr>
        <w:t>5. Załącznik Nr 5 – Wymagany poziom kompetencji do oceny</w:t>
      </w:r>
      <w:r>
        <w:rPr>
          <w:rFonts w:ascii="Arial" w:hAnsi="Arial" w:cs="Arial"/>
          <w:lang w:eastAsia="pl-PL"/>
        </w:rPr>
        <w:t xml:space="preserve"> zbiorowej,</w:t>
      </w:r>
    </w:p>
    <w:p w:rsidR="00E24DBC" w:rsidRDefault="00A039D7" w:rsidP="00A039D7">
      <w:pPr>
        <w:spacing w:after="0"/>
        <w:jc w:val="both"/>
        <w:rPr>
          <w:rFonts w:ascii="Arial" w:hAnsi="Arial" w:cs="Arial"/>
          <w:lang w:eastAsia="pl-PL"/>
        </w:rPr>
      </w:pPr>
      <w:r>
        <w:rPr>
          <w:rFonts w:ascii="Arial" w:hAnsi="Arial" w:cs="Arial"/>
          <w:lang w:eastAsia="pl-PL"/>
        </w:rPr>
        <w:t>6. Załącznik Nr 6 – Kryteria stosowania ocen kompetencji.</w:t>
      </w:r>
    </w:p>
    <w:p w:rsidR="00E24DBC" w:rsidRDefault="00E24DBC" w:rsidP="00A039D7">
      <w:pPr>
        <w:spacing w:after="0"/>
        <w:jc w:val="both"/>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E24DBC">
      <w:pPr>
        <w:spacing w:after="0"/>
        <w:rPr>
          <w:rFonts w:ascii="Arial" w:hAnsi="Arial" w:cs="Arial"/>
          <w:lang w:eastAsia="pl-PL"/>
        </w:rPr>
      </w:pPr>
    </w:p>
    <w:p w:rsidR="00E24DBC" w:rsidRDefault="00A039D7">
      <w:pPr>
        <w:spacing w:after="0"/>
        <w:rPr>
          <w:rFonts w:ascii="Arial" w:hAnsi="Arial" w:cs="Arial"/>
          <w:lang w:eastAsia="pl-PL"/>
        </w:rPr>
      </w:pPr>
      <w:r>
        <w:br w:type="page"/>
      </w:r>
    </w:p>
    <w:p w:rsidR="00E24DBC" w:rsidRDefault="00A039D7">
      <w:pPr>
        <w:pStyle w:val="Nagwek1"/>
        <w:spacing w:before="0"/>
        <w:jc w:val="center"/>
        <w:rPr>
          <w:rFonts w:ascii="Arial" w:hAnsi="Arial" w:cs="Arial"/>
          <w:color w:val="auto"/>
          <w:sz w:val="22"/>
          <w:szCs w:val="22"/>
          <w:u w:val="single"/>
          <w:lang w:eastAsia="pl-PL"/>
        </w:rPr>
      </w:pPr>
      <w:bookmarkStart w:id="0" w:name="_Toc34735325"/>
      <w:bookmarkStart w:id="1" w:name="_Toc164253556"/>
      <w:bookmarkStart w:id="2" w:name="_Toc39843505"/>
      <w:r>
        <w:rPr>
          <w:rFonts w:ascii="Arial" w:hAnsi="Arial" w:cs="Arial"/>
          <w:color w:val="auto"/>
          <w:sz w:val="22"/>
          <w:szCs w:val="22"/>
          <w:u w:val="single"/>
          <w:lang w:eastAsia="pl-PL"/>
        </w:rPr>
        <w:lastRenderedPageBreak/>
        <w:t>Rozdział 1. Postanowienia ogólne</w:t>
      </w:r>
      <w:bookmarkEnd w:id="0"/>
      <w:bookmarkEnd w:id="1"/>
      <w:bookmarkEnd w:id="2"/>
    </w:p>
    <w:p w:rsidR="00E24DBC" w:rsidRDefault="00A039D7">
      <w:pPr>
        <w:shd w:val="clear" w:color="auto" w:fill="FFFFFF"/>
        <w:spacing w:after="0"/>
        <w:jc w:val="center"/>
        <w:rPr>
          <w:rFonts w:ascii="Arial" w:eastAsia="Times New Roman" w:hAnsi="Arial" w:cs="Arial"/>
          <w:b/>
          <w:bCs/>
          <w:color w:val="000000"/>
          <w:lang w:eastAsia="pl-PL"/>
        </w:rPr>
      </w:pPr>
      <w:r>
        <w:rPr>
          <w:rFonts w:ascii="Arial" w:eastAsia="Times New Roman" w:hAnsi="Arial" w:cs="Arial"/>
          <w:b/>
          <w:bCs/>
          <w:color w:val="000000"/>
          <w:lang w:eastAsia="pl-PL"/>
        </w:rPr>
        <w:t>§ 1.</w:t>
      </w:r>
    </w:p>
    <w:p w:rsidR="00E24DBC" w:rsidRDefault="00A039D7">
      <w:pPr>
        <w:shd w:val="clear" w:color="auto" w:fill="FFFFFF"/>
        <w:spacing w:after="0"/>
        <w:jc w:val="both"/>
        <w:rPr>
          <w:rFonts w:ascii="Arial" w:hAnsi="Arial" w:cs="Arial"/>
        </w:rPr>
      </w:pPr>
      <w:r>
        <w:rPr>
          <w:rFonts w:ascii="Arial" w:hAnsi="Arial" w:cs="Arial"/>
        </w:rPr>
        <w:t xml:space="preserve">Polityka oceny odpowiedniości </w:t>
      </w:r>
      <w:r>
        <w:rPr>
          <w:rFonts w:ascii="Arial" w:hAnsi="Arial" w:cs="Arial"/>
        </w:rPr>
        <w:t>członków Rady Nadzorczej, zwana dalej „</w:t>
      </w:r>
      <w:r>
        <w:rPr>
          <w:rFonts w:ascii="Arial" w:hAnsi="Arial" w:cs="Arial"/>
          <w:b/>
          <w:bCs/>
        </w:rPr>
        <w:t>Polityką</w:t>
      </w:r>
      <w:r>
        <w:rPr>
          <w:rFonts w:ascii="Arial" w:hAnsi="Arial" w:cs="Arial"/>
        </w:rPr>
        <w:t>”, opracowana została z uwzględnieniem obowiązujących przepisów prawa i wykładni organów nadzoru, w szczególności Metodyki oceny odpowiedniości członków organów podmiotów nadzorowanych przez Komisję Nadzoru Finansowego.</w:t>
      </w:r>
    </w:p>
    <w:p w:rsidR="00E24DBC" w:rsidRDefault="00E24DBC">
      <w:pPr>
        <w:shd w:val="clear" w:color="auto" w:fill="FFFFFF"/>
        <w:spacing w:after="0"/>
        <w:jc w:val="both"/>
        <w:rPr>
          <w:rFonts w:ascii="Arial" w:hAnsi="Arial" w:cs="Arial"/>
        </w:rPr>
      </w:pPr>
    </w:p>
    <w:p w:rsidR="00E24DBC" w:rsidRDefault="00A039D7">
      <w:pPr>
        <w:shd w:val="clear" w:color="auto" w:fill="FFFFFF"/>
        <w:spacing w:after="0"/>
        <w:ind w:left="389"/>
        <w:jc w:val="center"/>
        <w:rPr>
          <w:rFonts w:ascii="Arial" w:hAnsi="Arial" w:cs="Arial"/>
          <w:b/>
        </w:rPr>
      </w:pPr>
      <w:r>
        <w:rPr>
          <w:rFonts w:ascii="Arial" w:hAnsi="Arial" w:cs="Arial"/>
          <w:b/>
        </w:rPr>
        <w:t>§ 2.</w:t>
      </w:r>
    </w:p>
    <w:p w:rsidR="00E24DBC" w:rsidRDefault="00A039D7">
      <w:pPr>
        <w:shd w:val="clear" w:color="auto" w:fill="FFFFFF"/>
        <w:spacing w:after="0"/>
        <w:jc w:val="both"/>
        <w:rPr>
          <w:rFonts w:ascii="Arial" w:hAnsi="Arial" w:cs="Arial"/>
        </w:rPr>
      </w:pPr>
      <w:r>
        <w:rPr>
          <w:rFonts w:ascii="Arial" w:hAnsi="Arial" w:cs="Arial"/>
        </w:rPr>
        <w:t xml:space="preserve">Polityka określa w szczególności kryteria oceny odpowiedniości członków Rady Nadzorczej, a także Kandydatów do pełnienia tej funkcji, przebieg procesu oceny odpowiedniości, a także środki naprawcze. </w:t>
      </w:r>
    </w:p>
    <w:p w:rsidR="00E24DBC" w:rsidRDefault="00E24DBC">
      <w:pPr>
        <w:shd w:val="clear" w:color="auto" w:fill="FFFFFF"/>
        <w:spacing w:after="0"/>
        <w:jc w:val="both"/>
        <w:rPr>
          <w:rFonts w:ascii="Arial" w:hAnsi="Arial" w:cs="Arial"/>
        </w:rPr>
      </w:pPr>
    </w:p>
    <w:p w:rsidR="00E24DBC" w:rsidRDefault="00A039D7">
      <w:pPr>
        <w:shd w:val="clear" w:color="auto" w:fill="FFFFFF"/>
        <w:spacing w:after="0"/>
        <w:ind w:left="389"/>
        <w:jc w:val="center"/>
        <w:rPr>
          <w:rFonts w:ascii="Arial" w:hAnsi="Arial" w:cs="Arial"/>
          <w:b/>
        </w:rPr>
      </w:pPr>
      <w:r>
        <w:rPr>
          <w:rFonts w:ascii="Arial" w:hAnsi="Arial" w:cs="Arial"/>
          <w:b/>
        </w:rPr>
        <w:t>§ 3.</w:t>
      </w:r>
    </w:p>
    <w:p w:rsidR="00E24DBC" w:rsidRDefault="00A039D7">
      <w:pPr>
        <w:shd w:val="clear" w:color="auto" w:fill="FFFFFF"/>
        <w:spacing w:after="0"/>
        <w:jc w:val="both"/>
        <w:rPr>
          <w:rFonts w:ascii="Arial" w:hAnsi="Arial" w:cs="Arial"/>
        </w:rPr>
      </w:pPr>
      <w:r>
        <w:rPr>
          <w:rFonts w:ascii="Arial" w:hAnsi="Arial" w:cs="Arial"/>
        </w:rPr>
        <w:t xml:space="preserve">Użyte w Polityce </w:t>
      </w:r>
      <w:r>
        <w:rPr>
          <w:rFonts w:ascii="Arial" w:hAnsi="Arial" w:cs="Arial"/>
        </w:rPr>
        <w:t>określenia oznaczają:</w:t>
      </w:r>
    </w:p>
    <w:p w:rsidR="00E24DBC" w:rsidRDefault="00A039D7">
      <w:pPr>
        <w:pStyle w:val="Akapitzlist"/>
        <w:numPr>
          <w:ilvl w:val="0"/>
          <w:numId w:val="8"/>
        </w:numPr>
        <w:shd w:val="clear" w:color="auto" w:fill="FFFFFF"/>
        <w:spacing w:after="0"/>
        <w:contextualSpacing w:val="0"/>
        <w:jc w:val="both"/>
        <w:rPr>
          <w:rFonts w:ascii="Arial" w:hAnsi="Arial" w:cs="Arial"/>
        </w:rPr>
      </w:pPr>
      <w:r>
        <w:rPr>
          <w:rFonts w:ascii="Arial" w:hAnsi="Arial" w:cs="Arial"/>
          <w:b/>
        </w:rPr>
        <w:t>Bank –</w:t>
      </w:r>
      <w:r>
        <w:rPr>
          <w:rFonts w:ascii="Arial" w:hAnsi="Arial" w:cs="Arial"/>
        </w:rPr>
        <w:t xml:space="preserve"> Podlasko-Mazurski Bank Spółdzielczy w Zabłudowie, </w:t>
      </w:r>
    </w:p>
    <w:p w:rsidR="00E24DBC" w:rsidRDefault="00A039D7">
      <w:pPr>
        <w:pStyle w:val="Akapitzlist"/>
        <w:numPr>
          <w:ilvl w:val="0"/>
          <w:numId w:val="8"/>
        </w:numPr>
        <w:shd w:val="clear" w:color="auto" w:fill="FFFFFF"/>
        <w:spacing w:after="0"/>
        <w:contextualSpacing w:val="0"/>
        <w:jc w:val="both"/>
        <w:rPr>
          <w:rFonts w:ascii="Arial" w:hAnsi="Arial" w:cs="Arial"/>
        </w:rPr>
      </w:pPr>
      <w:r>
        <w:rPr>
          <w:rFonts w:ascii="Arial" w:hAnsi="Arial" w:cs="Arial"/>
          <w:b/>
        </w:rPr>
        <w:t xml:space="preserve">Kandydat </w:t>
      </w:r>
      <w:r>
        <w:rPr>
          <w:rFonts w:ascii="Arial" w:hAnsi="Arial" w:cs="Arial"/>
        </w:rPr>
        <w:t>– osoba kandydująca do pełnienia funkcji w Radzie Nadzorczej Banku;</w:t>
      </w:r>
    </w:p>
    <w:p w:rsidR="00E24DBC" w:rsidRDefault="00A039D7">
      <w:pPr>
        <w:pStyle w:val="Akapitzlist"/>
        <w:numPr>
          <w:ilvl w:val="0"/>
          <w:numId w:val="8"/>
        </w:numPr>
        <w:shd w:val="clear" w:color="auto" w:fill="FFFFFF"/>
        <w:spacing w:after="0"/>
        <w:contextualSpacing w:val="0"/>
        <w:jc w:val="both"/>
        <w:rPr>
          <w:rFonts w:ascii="Arial" w:hAnsi="Arial" w:cs="Arial"/>
          <w:bCs/>
        </w:rPr>
      </w:pPr>
      <w:r>
        <w:rPr>
          <w:rFonts w:ascii="Arial" w:hAnsi="Arial" w:cs="Arial"/>
          <w:b/>
        </w:rPr>
        <w:t>Komitet Audytu</w:t>
      </w:r>
      <w:r>
        <w:rPr>
          <w:rFonts w:ascii="Arial" w:hAnsi="Arial" w:cs="Arial"/>
          <w:bCs/>
        </w:rPr>
        <w:t xml:space="preserve"> – komitet Rady Nadzorczej, spełniający wymogi w szczególności </w:t>
      </w:r>
      <w:r>
        <w:rPr>
          <w:rFonts w:ascii="Arial" w:hAnsi="Arial" w:cs="Arial"/>
        </w:rPr>
        <w:t>Metodyki oceny odpowiedniości członków organów podmiotów nadzorowanych przez Komisję Nadzoru Finansowego;</w:t>
      </w:r>
    </w:p>
    <w:p w:rsidR="00E24DBC" w:rsidRDefault="00A039D7">
      <w:pPr>
        <w:pStyle w:val="Akapitzlist"/>
        <w:numPr>
          <w:ilvl w:val="0"/>
          <w:numId w:val="8"/>
        </w:numPr>
        <w:shd w:val="clear" w:color="auto" w:fill="FFFFFF"/>
        <w:spacing w:after="0"/>
        <w:contextualSpacing w:val="0"/>
        <w:jc w:val="both"/>
        <w:rPr>
          <w:rFonts w:ascii="Arial" w:hAnsi="Arial" w:cs="Arial"/>
          <w:bCs/>
        </w:rPr>
      </w:pPr>
      <w:r>
        <w:rPr>
          <w:rFonts w:ascii="Arial" w:hAnsi="Arial" w:cs="Arial"/>
          <w:b/>
        </w:rPr>
        <w:t>ZOK</w:t>
      </w:r>
      <w:r>
        <w:rPr>
          <w:rFonts w:ascii="Arial" w:hAnsi="Arial" w:cs="Arial"/>
          <w:bCs/>
        </w:rPr>
        <w:t xml:space="preserve">– Zespół Organizacyjno-Kadrowy. </w:t>
      </w:r>
    </w:p>
    <w:p w:rsidR="00E24DBC" w:rsidRDefault="00E24DBC">
      <w:pPr>
        <w:shd w:val="clear" w:color="auto" w:fill="FFFFFF"/>
        <w:spacing w:after="0"/>
        <w:jc w:val="both"/>
        <w:rPr>
          <w:rFonts w:ascii="Arial" w:hAnsi="Arial" w:cs="Arial"/>
          <w:highlight w:val="yellow"/>
        </w:rPr>
      </w:pPr>
    </w:p>
    <w:p w:rsidR="00E24DBC" w:rsidRDefault="00A039D7">
      <w:pPr>
        <w:shd w:val="clear" w:color="auto" w:fill="FFFFFF"/>
        <w:spacing w:after="0"/>
        <w:ind w:left="389"/>
        <w:jc w:val="center"/>
        <w:rPr>
          <w:rFonts w:ascii="Arial" w:hAnsi="Arial" w:cs="Arial"/>
          <w:b/>
        </w:rPr>
      </w:pPr>
      <w:r>
        <w:rPr>
          <w:rFonts w:ascii="Arial" w:hAnsi="Arial" w:cs="Arial"/>
          <w:b/>
        </w:rPr>
        <w:t>§ 4.</w:t>
      </w:r>
    </w:p>
    <w:p w:rsidR="00E24DBC" w:rsidRDefault="00A039D7">
      <w:pPr>
        <w:pStyle w:val="Akapitzlist"/>
        <w:numPr>
          <w:ilvl w:val="0"/>
          <w:numId w:val="9"/>
        </w:numPr>
        <w:spacing w:after="0"/>
        <w:contextualSpacing w:val="0"/>
        <w:jc w:val="both"/>
        <w:rPr>
          <w:rFonts w:ascii="Arial" w:hAnsi="Arial" w:cs="Arial"/>
        </w:rPr>
      </w:pPr>
      <w:r>
        <w:rPr>
          <w:rFonts w:ascii="Arial" w:hAnsi="Arial" w:cs="Arial"/>
          <w:b/>
        </w:rPr>
        <w:t>Indywidualnej</w:t>
      </w:r>
      <w:r>
        <w:rPr>
          <w:rFonts w:ascii="Arial" w:hAnsi="Arial" w:cs="Arial"/>
        </w:rPr>
        <w:t xml:space="preserve"> ocenie odpowiedniości podlega członek Rady Nadzorczej Banku, a także Kandydat do pełnienia tej funkcji.</w:t>
      </w:r>
    </w:p>
    <w:p w:rsidR="00E24DBC" w:rsidRDefault="00A039D7">
      <w:pPr>
        <w:pStyle w:val="Akapitzlist"/>
        <w:numPr>
          <w:ilvl w:val="0"/>
          <w:numId w:val="9"/>
        </w:numPr>
        <w:spacing w:after="0"/>
        <w:contextualSpacing w:val="0"/>
        <w:jc w:val="both"/>
        <w:rPr>
          <w:rFonts w:ascii="Arial" w:hAnsi="Arial" w:cs="Arial"/>
        </w:rPr>
      </w:pPr>
      <w:r>
        <w:rPr>
          <w:rFonts w:ascii="Arial" w:hAnsi="Arial" w:cs="Arial"/>
          <w:b/>
        </w:rPr>
        <w:t>Zbiorowej</w:t>
      </w:r>
      <w:r>
        <w:rPr>
          <w:rFonts w:ascii="Arial" w:hAnsi="Arial" w:cs="Arial"/>
        </w:rPr>
        <w:t xml:space="preserve"> ocenie odpowiedniości podlega Rada Nadzorcza.</w:t>
      </w:r>
    </w:p>
    <w:p w:rsidR="00E24DBC" w:rsidRDefault="00A039D7">
      <w:pPr>
        <w:pStyle w:val="Akapitzlist"/>
        <w:numPr>
          <w:ilvl w:val="0"/>
          <w:numId w:val="9"/>
        </w:numPr>
        <w:spacing w:after="0"/>
        <w:contextualSpacing w:val="0"/>
        <w:jc w:val="both"/>
        <w:rPr>
          <w:rFonts w:ascii="Arial" w:hAnsi="Arial" w:cs="Arial"/>
        </w:rPr>
      </w:pPr>
      <w:r>
        <w:rPr>
          <w:rFonts w:ascii="Arial" w:hAnsi="Arial" w:cs="Arial"/>
          <w:bCs/>
        </w:rPr>
        <w:t>Ocenę, o której mowa w ust. 1 i 2 przeprowadza się przy użyciu odpowiednich formularzy stanowiących Załączniki Nr 1 i 2 do niniejszej Polityki.</w:t>
      </w:r>
    </w:p>
    <w:p w:rsidR="00E24DBC" w:rsidRDefault="00A039D7">
      <w:pPr>
        <w:numPr>
          <w:ilvl w:val="0"/>
          <w:numId w:val="9"/>
        </w:numPr>
        <w:shd w:val="clear" w:color="auto" w:fill="FFFFFF"/>
        <w:spacing w:after="0"/>
        <w:jc w:val="both"/>
        <w:rPr>
          <w:rFonts w:ascii="Arial" w:hAnsi="Arial" w:cs="Arial"/>
        </w:rPr>
      </w:pPr>
      <w:r>
        <w:rPr>
          <w:rFonts w:ascii="Arial" w:eastAsia="Times New Roman" w:hAnsi="Arial" w:cs="Arial"/>
          <w:lang w:eastAsia="pl-PL"/>
        </w:rPr>
        <w:t>L</w:t>
      </w:r>
      <w:r>
        <w:rPr>
          <w:rFonts w:ascii="Arial" w:hAnsi="Arial" w:cs="Arial"/>
        </w:rPr>
        <w:t>istę niezbędnych kompetencji do oceny, o której mowa w ust. 1 i 2, ze wskazaniem oczekiwanego poziomu ich spełnienia przez Kandydata/członka Rady Nadzorczej oraz Radę Nadzorczą zawierają odpowiednio Załączniki Nr 4 i 5 do niniejszej Polityki. Lista podlega przeglądowi każdorazowo w przypadku istotnych zmian w profilu ryzyka Banku.</w:t>
      </w:r>
    </w:p>
    <w:p w:rsidR="00E24DBC" w:rsidRDefault="00A039D7">
      <w:pPr>
        <w:numPr>
          <w:ilvl w:val="0"/>
          <w:numId w:val="9"/>
        </w:numPr>
        <w:shd w:val="clear" w:color="auto" w:fill="FFFFFF"/>
        <w:spacing w:after="0"/>
        <w:jc w:val="both"/>
        <w:rPr>
          <w:rFonts w:ascii="Arial" w:hAnsi="Arial" w:cs="Arial"/>
        </w:rPr>
      </w:pPr>
      <w:r>
        <w:rPr>
          <w:rFonts w:ascii="Arial" w:eastAsia="Times New Roman" w:hAnsi="Arial" w:cs="Arial"/>
          <w:lang w:eastAsia="pl-PL"/>
        </w:rPr>
        <w:t>Oceniając poziom wiedzy, umiejętności i doświadczenia zawodowego przy ocenie indywidualnej Kandydata/członka Rady Nadzorczej uwzględnia się kryteria stosowania ocen kompetencji zawarte w Załączniku Nr 6 do niniejszej Polityki.</w:t>
      </w:r>
    </w:p>
    <w:p w:rsidR="00E24DBC" w:rsidRDefault="00E24DBC">
      <w:pPr>
        <w:pStyle w:val="Akapitzlist"/>
        <w:spacing w:after="0"/>
        <w:ind w:left="360"/>
        <w:contextualSpacing w:val="0"/>
        <w:jc w:val="both"/>
        <w:rPr>
          <w:rFonts w:ascii="Arial" w:hAnsi="Arial" w:cs="Arial"/>
        </w:rPr>
      </w:pPr>
    </w:p>
    <w:p w:rsidR="00E24DBC" w:rsidRDefault="00A039D7">
      <w:pPr>
        <w:shd w:val="clear" w:color="auto" w:fill="FFFFFF"/>
        <w:spacing w:after="0"/>
        <w:ind w:left="389"/>
        <w:jc w:val="center"/>
        <w:rPr>
          <w:rFonts w:ascii="Arial" w:hAnsi="Arial" w:cs="Arial"/>
          <w:b/>
        </w:rPr>
      </w:pPr>
      <w:r>
        <w:rPr>
          <w:rFonts w:ascii="Arial" w:hAnsi="Arial" w:cs="Arial"/>
          <w:b/>
        </w:rPr>
        <w:t>§ 5.</w:t>
      </w:r>
    </w:p>
    <w:p w:rsidR="00E24DBC" w:rsidRDefault="00A039D7">
      <w:pPr>
        <w:numPr>
          <w:ilvl w:val="0"/>
          <w:numId w:val="2"/>
        </w:numPr>
        <w:shd w:val="clear" w:color="auto" w:fill="FFFFFF"/>
        <w:spacing w:after="0"/>
        <w:ind w:left="356" w:hanging="356"/>
        <w:jc w:val="both"/>
        <w:rPr>
          <w:rFonts w:ascii="Arial" w:eastAsia="Times New Roman" w:hAnsi="Arial" w:cs="Arial"/>
          <w:lang w:eastAsia="pl-PL"/>
        </w:rPr>
      </w:pPr>
      <w:r>
        <w:rPr>
          <w:rFonts w:ascii="Arial" w:hAnsi="Arial" w:cs="Arial"/>
        </w:rPr>
        <w:t>Ocenę odpowiedniości przeprowadza się przed powołaniem danej osoby w skład Rady Nadzorczej (</w:t>
      </w:r>
      <w:r>
        <w:rPr>
          <w:rFonts w:ascii="Arial" w:hAnsi="Arial" w:cs="Arial"/>
          <w:b/>
        </w:rPr>
        <w:t>ocena pierwotna</w:t>
      </w:r>
      <w:r>
        <w:rPr>
          <w:rFonts w:ascii="Arial" w:hAnsi="Arial" w:cs="Arial"/>
        </w:rPr>
        <w:t>), a także w toku pełnienia funkcji (</w:t>
      </w:r>
      <w:r>
        <w:rPr>
          <w:rFonts w:ascii="Arial" w:hAnsi="Arial" w:cs="Arial"/>
          <w:b/>
        </w:rPr>
        <w:t>ocena wtórna</w:t>
      </w:r>
      <w:r>
        <w:rPr>
          <w:rFonts w:ascii="Arial" w:hAnsi="Arial" w:cs="Arial"/>
        </w:rPr>
        <w:t>).</w:t>
      </w:r>
      <w:r>
        <w:rPr>
          <w:rFonts w:ascii="Arial" w:eastAsia="Times New Roman" w:hAnsi="Arial" w:cs="Arial"/>
          <w:lang w:eastAsia="pl-PL"/>
        </w:rPr>
        <w:t xml:space="preserve"> </w:t>
      </w:r>
    </w:p>
    <w:p w:rsidR="00E24DBC" w:rsidRDefault="00A039D7">
      <w:pPr>
        <w:numPr>
          <w:ilvl w:val="0"/>
          <w:numId w:val="2"/>
        </w:numPr>
        <w:shd w:val="clear" w:color="auto" w:fill="FFFFFF"/>
        <w:spacing w:after="0"/>
        <w:ind w:left="356" w:hanging="356"/>
        <w:jc w:val="both"/>
        <w:rPr>
          <w:rFonts w:ascii="Arial" w:eastAsia="Times New Roman" w:hAnsi="Arial" w:cs="Arial"/>
          <w:lang w:eastAsia="pl-PL"/>
        </w:rPr>
      </w:pPr>
      <w:r>
        <w:rPr>
          <w:rFonts w:ascii="Arial" w:eastAsia="Times New Roman" w:hAnsi="Arial" w:cs="Arial"/>
          <w:lang w:eastAsia="pl-PL"/>
        </w:rPr>
        <w:t xml:space="preserve">W wyjątkowych przypadkach ocena pierwotna może zostać przeprowadzona niezwłocznie po </w:t>
      </w:r>
      <w:r>
        <w:rPr>
          <w:rFonts w:ascii="Arial" w:hAnsi="Arial" w:cs="Arial"/>
        </w:rPr>
        <w:t>powołaniu danej osoby w skład Rady Nadzorczej.</w:t>
      </w:r>
    </w:p>
    <w:p w:rsidR="00E24DBC" w:rsidRDefault="00E24DBC">
      <w:pPr>
        <w:shd w:val="clear" w:color="auto" w:fill="FFFFFF"/>
        <w:spacing w:after="0"/>
        <w:ind w:left="356"/>
        <w:jc w:val="both"/>
        <w:rPr>
          <w:rFonts w:ascii="Arial" w:eastAsia="Times New Roman" w:hAnsi="Arial" w:cs="Arial"/>
          <w:lang w:eastAsia="pl-PL"/>
        </w:rPr>
      </w:pPr>
    </w:p>
    <w:p w:rsidR="00E24DBC" w:rsidRDefault="00A039D7">
      <w:pPr>
        <w:shd w:val="clear" w:color="auto" w:fill="FFFFFF"/>
        <w:spacing w:after="0"/>
        <w:ind w:left="389"/>
        <w:jc w:val="center"/>
        <w:rPr>
          <w:rFonts w:ascii="Arial" w:hAnsi="Arial" w:cs="Arial"/>
          <w:b/>
        </w:rPr>
      </w:pPr>
      <w:r>
        <w:rPr>
          <w:rFonts w:ascii="Arial" w:hAnsi="Arial" w:cs="Arial"/>
          <w:b/>
        </w:rPr>
        <w:t>§ 6.</w:t>
      </w:r>
    </w:p>
    <w:p w:rsidR="00E24DBC" w:rsidRDefault="00A039D7">
      <w:pPr>
        <w:pStyle w:val="Akapitzlist"/>
        <w:numPr>
          <w:ilvl w:val="0"/>
          <w:numId w:val="7"/>
        </w:numPr>
        <w:shd w:val="clear" w:color="auto" w:fill="FFFFFF"/>
        <w:spacing w:after="0"/>
        <w:contextualSpacing w:val="0"/>
        <w:jc w:val="both"/>
        <w:rPr>
          <w:rFonts w:ascii="Arial" w:hAnsi="Arial" w:cs="Arial"/>
        </w:rPr>
      </w:pPr>
      <w:r>
        <w:rPr>
          <w:rFonts w:ascii="Arial" w:hAnsi="Arial" w:cs="Arial"/>
        </w:rPr>
        <w:t>Ocenę odpowiedniości przeprowadza oceniający, którym jest dla członków Rady Nadzorczej i Kandydatów na członków Rady Nadzorczej – Zebranie Przedstawicieli.</w:t>
      </w:r>
    </w:p>
    <w:p w:rsidR="00E24DBC" w:rsidRDefault="00A039D7">
      <w:pPr>
        <w:pStyle w:val="Akapitzlist"/>
        <w:numPr>
          <w:ilvl w:val="0"/>
          <w:numId w:val="7"/>
        </w:numPr>
        <w:shd w:val="clear" w:color="auto" w:fill="FFFFFF"/>
        <w:spacing w:after="0"/>
        <w:contextualSpacing w:val="0"/>
        <w:jc w:val="both"/>
      </w:pPr>
      <w:r>
        <w:rPr>
          <w:rFonts w:ascii="Arial" w:hAnsi="Arial" w:cs="Arial"/>
        </w:rPr>
        <w:t xml:space="preserve">Wybranie przez Zebranie Przedstawicieli komisji ds. oceny odpowiedniości, która wykonuje czynności związane z przeprowadzaną oceny odpowiedniości, nie powoduje przeniesienia na tę komisję kompetencji Zebrania Przedstawicieli w zakresie oceny odpowiedniości członków Rady Nadzorczej. </w:t>
      </w:r>
    </w:p>
    <w:p w:rsidR="00E24DBC" w:rsidRDefault="00A039D7">
      <w:pPr>
        <w:pStyle w:val="Akapitzlist"/>
        <w:numPr>
          <w:ilvl w:val="0"/>
          <w:numId w:val="7"/>
        </w:numPr>
        <w:shd w:val="clear" w:color="auto" w:fill="FFFFFF"/>
        <w:spacing w:after="0"/>
        <w:contextualSpacing w:val="0"/>
        <w:jc w:val="both"/>
        <w:rPr>
          <w:rFonts w:ascii="Arial" w:hAnsi="Arial" w:cs="Arial"/>
        </w:rPr>
      </w:pPr>
      <w:r>
        <w:rPr>
          <w:rFonts w:ascii="Arial" w:hAnsi="Arial" w:cs="Arial"/>
        </w:rPr>
        <w:lastRenderedPageBreak/>
        <w:t>Każdy formularz oceny może być podpisany podpisem własnoręcznym, kwalifikowanym podpisem elektronicznym lub podpisem zaufanym.</w:t>
      </w:r>
    </w:p>
    <w:p w:rsidR="00E24DBC" w:rsidRDefault="00E24DBC">
      <w:pPr>
        <w:pStyle w:val="Akapitzlist"/>
        <w:shd w:val="clear" w:color="auto" w:fill="FFFFFF"/>
        <w:spacing w:after="0"/>
        <w:ind w:left="360"/>
        <w:contextualSpacing w:val="0"/>
        <w:jc w:val="both"/>
        <w:rPr>
          <w:rFonts w:ascii="Arial" w:hAnsi="Arial" w:cs="Arial"/>
          <w:b/>
        </w:rPr>
      </w:pPr>
    </w:p>
    <w:p w:rsidR="00E24DBC" w:rsidRDefault="00A039D7">
      <w:pPr>
        <w:shd w:val="clear" w:color="auto" w:fill="FFFFFF"/>
        <w:spacing w:after="0"/>
        <w:ind w:left="389"/>
        <w:jc w:val="center"/>
        <w:rPr>
          <w:rFonts w:ascii="Arial" w:hAnsi="Arial" w:cs="Arial"/>
          <w:b/>
        </w:rPr>
      </w:pPr>
      <w:r>
        <w:rPr>
          <w:rFonts w:ascii="Arial" w:hAnsi="Arial" w:cs="Arial"/>
          <w:b/>
        </w:rPr>
        <w:t>§ 7.</w:t>
      </w:r>
    </w:p>
    <w:p w:rsidR="00E24DBC" w:rsidRDefault="00A039D7">
      <w:pPr>
        <w:shd w:val="clear" w:color="auto" w:fill="FFFFFF"/>
        <w:spacing w:after="0"/>
        <w:jc w:val="both"/>
        <w:rPr>
          <w:rFonts w:ascii="Arial" w:hAnsi="Arial" w:cs="Arial"/>
        </w:rPr>
      </w:pPr>
      <w:r>
        <w:rPr>
          <w:rFonts w:ascii="Arial" w:hAnsi="Arial" w:cs="Arial"/>
        </w:rPr>
        <w:t xml:space="preserve">O wynikach oceny odpowiedniości osobę </w:t>
      </w:r>
      <w:r>
        <w:rPr>
          <w:rFonts w:ascii="Arial" w:hAnsi="Arial" w:cs="Arial"/>
        </w:rPr>
        <w:t>ocenianą informuje przewodniczący Zebrania Przedstawicieli, na którym dokonywana jest ocena Kandydatów lub członków Rady Nadzorczej.</w:t>
      </w:r>
    </w:p>
    <w:p w:rsidR="00E24DBC" w:rsidRDefault="00E24DBC">
      <w:pPr>
        <w:shd w:val="clear" w:color="auto" w:fill="FFFFFF"/>
        <w:spacing w:after="0"/>
        <w:jc w:val="both"/>
        <w:rPr>
          <w:rFonts w:ascii="Arial" w:hAnsi="Arial" w:cs="Arial"/>
        </w:rPr>
      </w:pPr>
    </w:p>
    <w:p w:rsidR="00E24DBC" w:rsidRDefault="00A039D7">
      <w:pPr>
        <w:pStyle w:val="Nagwek1"/>
        <w:spacing w:before="0"/>
        <w:jc w:val="center"/>
        <w:rPr>
          <w:rFonts w:ascii="Arial" w:hAnsi="Arial" w:cs="Arial"/>
          <w:color w:val="auto"/>
          <w:sz w:val="22"/>
          <w:szCs w:val="22"/>
          <w:u w:val="single"/>
          <w:lang w:eastAsia="pl-PL"/>
        </w:rPr>
      </w:pPr>
      <w:bookmarkStart w:id="3" w:name="_Toc39733828"/>
      <w:bookmarkStart w:id="4" w:name="_Toc34735326"/>
      <w:bookmarkStart w:id="5" w:name="_Toc164253557"/>
      <w:bookmarkStart w:id="6" w:name="_Toc39843506"/>
      <w:r>
        <w:rPr>
          <w:rFonts w:ascii="Arial" w:hAnsi="Arial" w:cs="Arial"/>
          <w:color w:val="auto"/>
          <w:sz w:val="22"/>
          <w:szCs w:val="22"/>
          <w:u w:val="single"/>
          <w:lang w:eastAsia="pl-PL"/>
        </w:rPr>
        <w:t>Rozdział 2.</w:t>
      </w:r>
      <w:bookmarkEnd w:id="3"/>
      <w:bookmarkEnd w:id="4"/>
      <w:r>
        <w:rPr>
          <w:rFonts w:ascii="Arial" w:hAnsi="Arial" w:cs="Arial"/>
          <w:color w:val="auto"/>
          <w:sz w:val="22"/>
          <w:szCs w:val="22"/>
          <w:u w:val="single"/>
          <w:lang w:eastAsia="pl-PL"/>
        </w:rPr>
        <w:t xml:space="preserve"> </w:t>
      </w:r>
      <w:bookmarkStart w:id="7" w:name="_Toc39733829"/>
      <w:bookmarkStart w:id="8" w:name="_Toc34735327"/>
      <w:r>
        <w:rPr>
          <w:rFonts w:ascii="Arial" w:hAnsi="Arial" w:cs="Arial"/>
          <w:color w:val="auto"/>
          <w:sz w:val="22"/>
          <w:szCs w:val="22"/>
          <w:u w:val="single"/>
          <w:lang w:eastAsia="pl-PL"/>
        </w:rPr>
        <w:t>Kryteria oceny oraz zdarzenia uzasadniające przeprowadzenie oceny</w:t>
      </w:r>
      <w:bookmarkEnd w:id="5"/>
      <w:bookmarkEnd w:id="6"/>
      <w:bookmarkEnd w:id="7"/>
      <w:bookmarkEnd w:id="8"/>
    </w:p>
    <w:p w:rsidR="00E24DBC" w:rsidRDefault="00A039D7">
      <w:pPr>
        <w:shd w:val="clear" w:color="auto" w:fill="FFFFFF"/>
        <w:spacing w:after="0"/>
        <w:jc w:val="center"/>
        <w:rPr>
          <w:rFonts w:ascii="Arial" w:eastAsia="Times New Roman" w:hAnsi="Arial" w:cs="Arial"/>
          <w:b/>
          <w:bCs/>
          <w:color w:val="000000"/>
          <w:lang w:eastAsia="pl-PL"/>
        </w:rPr>
      </w:pPr>
      <w:r>
        <w:rPr>
          <w:rFonts w:ascii="Arial" w:eastAsia="Times New Roman" w:hAnsi="Arial" w:cs="Arial"/>
          <w:b/>
          <w:bCs/>
          <w:color w:val="000000"/>
          <w:lang w:eastAsia="pl-PL"/>
        </w:rPr>
        <w:t xml:space="preserve">§ 8. Kryteria oceny </w:t>
      </w:r>
      <w:r>
        <w:rPr>
          <w:rFonts w:ascii="Arial" w:eastAsia="Times New Roman" w:hAnsi="Arial" w:cs="Arial"/>
          <w:b/>
          <w:bCs/>
          <w:color w:val="000000"/>
          <w:lang w:eastAsia="pl-PL"/>
        </w:rPr>
        <w:t>indywidualnej</w:t>
      </w:r>
    </w:p>
    <w:p w:rsidR="00E24DBC" w:rsidRDefault="00A039D7">
      <w:pPr>
        <w:pStyle w:val="Akapitzlist"/>
        <w:numPr>
          <w:ilvl w:val="0"/>
          <w:numId w:val="6"/>
        </w:numPr>
        <w:shd w:val="clear" w:color="auto" w:fill="FFFFFF"/>
        <w:spacing w:after="0"/>
        <w:ind w:left="284"/>
        <w:jc w:val="both"/>
        <w:rPr>
          <w:rFonts w:ascii="Arial" w:eastAsia="Times New Roman" w:hAnsi="Arial" w:cs="Arial"/>
          <w:lang w:eastAsia="pl-PL"/>
        </w:rPr>
      </w:pPr>
      <w:r>
        <w:rPr>
          <w:rFonts w:ascii="Arial" w:eastAsia="Times New Roman" w:hAnsi="Arial" w:cs="Arial"/>
          <w:lang w:eastAsia="pl-PL"/>
        </w:rPr>
        <w:t>W procesie oceny odpowiedniości indywidualnej bada się spełnienie kryteriów mających zastosowanie do ocenianej osoby. Kryteria mające zastosowanie do osoby ocenianej oraz elementy podlegające ocenie w ramach danego kryterium przedstawia poniższa tabela:</w:t>
      </w:r>
    </w:p>
    <w:p w:rsidR="00E24DBC" w:rsidRDefault="00E24DBC">
      <w:pPr>
        <w:pStyle w:val="Akapitzlist"/>
        <w:shd w:val="clear" w:color="auto" w:fill="FFFFFF"/>
        <w:spacing w:after="0"/>
        <w:jc w:val="both"/>
        <w:rPr>
          <w:rFonts w:ascii="Arial" w:eastAsia="Times New Roman" w:hAnsi="Arial" w:cs="Arial"/>
          <w:lang w:eastAsia="pl-PL"/>
        </w:rPr>
      </w:pPr>
    </w:p>
    <w:tbl>
      <w:tblPr>
        <w:tblStyle w:val="Tabela-Siatka"/>
        <w:tblW w:w="9072" w:type="dxa"/>
        <w:tblInd w:w="279" w:type="dxa"/>
        <w:tblLayout w:type="fixed"/>
        <w:tblLook w:val="04A0" w:firstRow="1" w:lastRow="0" w:firstColumn="1" w:lastColumn="0" w:noHBand="0" w:noVBand="1"/>
      </w:tblPr>
      <w:tblGrid>
        <w:gridCol w:w="568"/>
        <w:gridCol w:w="2394"/>
        <w:gridCol w:w="2976"/>
        <w:gridCol w:w="3134"/>
      </w:tblGrid>
      <w:tr w:rsidR="00E24DBC">
        <w:tc>
          <w:tcPr>
            <w:tcW w:w="567" w:type="dxa"/>
          </w:tcPr>
          <w:p w:rsidR="00E24DBC" w:rsidRDefault="00A039D7">
            <w:pPr>
              <w:pStyle w:val="Akapitzlist"/>
              <w:spacing w:after="0"/>
              <w:ind w:left="0"/>
              <w:rPr>
                <w:rFonts w:ascii="Arial" w:eastAsia="Times New Roman" w:hAnsi="Arial" w:cs="Arial"/>
                <w:b/>
                <w:lang w:eastAsia="pl-PL"/>
              </w:rPr>
            </w:pPr>
            <w:r>
              <w:rPr>
                <w:rFonts w:ascii="Arial" w:eastAsia="Times New Roman" w:hAnsi="Arial" w:cs="Arial"/>
                <w:b/>
                <w:lang w:eastAsia="pl-PL"/>
              </w:rPr>
              <w:t>Lp.</w:t>
            </w:r>
          </w:p>
        </w:tc>
        <w:tc>
          <w:tcPr>
            <w:tcW w:w="2394" w:type="dxa"/>
          </w:tcPr>
          <w:p w:rsidR="00E24DBC" w:rsidRDefault="00A039D7">
            <w:pPr>
              <w:pStyle w:val="Akapitzlist"/>
              <w:spacing w:after="0"/>
              <w:ind w:left="0"/>
              <w:rPr>
                <w:rFonts w:ascii="Arial" w:eastAsia="Times New Roman" w:hAnsi="Arial" w:cs="Arial"/>
                <w:b/>
                <w:lang w:eastAsia="pl-PL"/>
              </w:rPr>
            </w:pPr>
            <w:r>
              <w:rPr>
                <w:rFonts w:ascii="Arial" w:eastAsia="Times New Roman" w:hAnsi="Arial" w:cs="Arial"/>
                <w:b/>
                <w:lang w:eastAsia="pl-PL"/>
              </w:rPr>
              <w:t>Kryterium</w:t>
            </w:r>
          </w:p>
        </w:tc>
        <w:tc>
          <w:tcPr>
            <w:tcW w:w="2976" w:type="dxa"/>
          </w:tcPr>
          <w:p w:rsidR="00E24DBC" w:rsidRDefault="00A039D7">
            <w:pPr>
              <w:pStyle w:val="Akapitzlist"/>
              <w:spacing w:after="0"/>
              <w:ind w:left="0"/>
              <w:rPr>
                <w:rFonts w:ascii="Arial" w:eastAsia="Times New Roman" w:hAnsi="Arial" w:cs="Arial"/>
                <w:b/>
                <w:lang w:eastAsia="pl-PL"/>
              </w:rPr>
            </w:pPr>
            <w:r>
              <w:rPr>
                <w:rFonts w:ascii="Arial" w:eastAsia="Times New Roman" w:hAnsi="Arial" w:cs="Arial"/>
                <w:b/>
                <w:lang w:eastAsia="pl-PL"/>
              </w:rPr>
              <w:t xml:space="preserve">Elementy podlegające ocenie </w:t>
            </w:r>
          </w:p>
          <w:p w:rsidR="00E24DBC" w:rsidRDefault="00A039D7">
            <w:pPr>
              <w:pStyle w:val="Akapitzlist"/>
              <w:spacing w:after="0"/>
              <w:ind w:left="0"/>
              <w:rPr>
                <w:rFonts w:ascii="Arial" w:eastAsia="Times New Roman" w:hAnsi="Arial" w:cs="Arial"/>
                <w:b/>
                <w:lang w:eastAsia="pl-PL"/>
              </w:rPr>
            </w:pPr>
            <w:r>
              <w:rPr>
                <w:rFonts w:ascii="Arial" w:eastAsia="Times New Roman" w:hAnsi="Arial" w:cs="Arial"/>
                <w:b/>
                <w:lang w:eastAsia="pl-PL"/>
              </w:rPr>
              <w:t>w ramach danego kryterium</w:t>
            </w:r>
          </w:p>
        </w:tc>
        <w:tc>
          <w:tcPr>
            <w:tcW w:w="3134" w:type="dxa"/>
          </w:tcPr>
          <w:p w:rsidR="00E24DBC" w:rsidRDefault="00A039D7">
            <w:pPr>
              <w:pStyle w:val="Akapitzlist"/>
              <w:spacing w:after="0"/>
              <w:ind w:left="0"/>
              <w:rPr>
                <w:rFonts w:ascii="Arial" w:eastAsia="Times New Roman" w:hAnsi="Arial" w:cs="Arial"/>
                <w:b/>
                <w:lang w:eastAsia="pl-PL"/>
              </w:rPr>
            </w:pPr>
            <w:r>
              <w:rPr>
                <w:rFonts w:ascii="Arial" w:eastAsia="Times New Roman" w:hAnsi="Arial" w:cs="Arial"/>
                <w:b/>
                <w:lang w:eastAsia="pl-PL"/>
              </w:rPr>
              <w:t>Osoba, do której kryterium ma zastosowanie</w:t>
            </w:r>
          </w:p>
        </w:tc>
      </w:tr>
      <w:tr w:rsidR="00E24DBC">
        <w:tc>
          <w:tcPr>
            <w:tcW w:w="567"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I.</w:t>
            </w:r>
          </w:p>
        </w:tc>
        <w:tc>
          <w:tcPr>
            <w:tcW w:w="239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Poziom wiedzy, umiejętności i doświadczenia zawodowego </w:t>
            </w:r>
          </w:p>
        </w:tc>
        <w:tc>
          <w:tcPr>
            <w:tcW w:w="2976"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Wykształcenie </w:t>
            </w:r>
          </w:p>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Życiorys zawodowy</w:t>
            </w:r>
          </w:p>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Kompetencje</w:t>
            </w:r>
          </w:p>
          <w:p w:rsidR="00E24DBC" w:rsidRDefault="00E24DBC">
            <w:pPr>
              <w:pStyle w:val="Akapitzlist"/>
              <w:spacing w:after="0"/>
              <w:ind w:left="0"/>
              <w:rPr>
                <w:rFonts w:ascii="Arial" w:eastAsia="Times New Roman" w:hAnsi="Arial" w:cs="Arial"/>
                <w:lang w:eastAsia="pl-PL"/>
              </w:rPr>
            </w:pPr>
          </w:p>
        </w:tc>
        <w:tc>
          <w:tcPr>
            <w:tcW w:w="313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członek Rady Nadzorczej, </w:t>
            </w:r>
          </w:p>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Kandydat do pełnienia tej funkcji</w:t>
            </w:r>
          </w:p>
        </w:tc>
      </w:tr>
      <w:tr w:rsidR="00E24DBC">
        <w:tc>
          <w:tcPr>
            <w:tcW w:w="567" w:type="dxa"/>
            <w:vMerge w:val="restart"/>
          </w:tcPr>
          <w:p w:rsidR="00E24DBC" w:rsidRDefault="00A039D7">
            <w:pPr>
              <w:shd w:val="clear" w:color="auto" w:fill="FFFFFF"/>
              <w:spacing w:after="0"/>
              <w:rPr>
                <w:rFonts w:ascii="Arial" w:eastAsia="Times New Roman" w:hAnsi="Arial" w:cs="Arial"/>
                <w:lang w:eastAsia="pl-PL"/>
              </w:rPr>
            </w:pPr>
            <w:r>
              <w:rPr>
                <w:rFonts w:ascii="Arial" w:eastAsia="Times New Roman" w:hAnsi="Arial" w:cs="Arial"/>
                <w:lang w:eastAsia="pl-PL"/>
              </w:rPr>
              <w:t>II.</w:t>
            </w:r>
          </w:p>
        </w:tc>
        <w:tc>
          <w:tcPr>
            <w:tcW w:w="2394" w:type="dxa"/>
            <w:vMerge w:val="restart"/>
          </w:tcPr>
          <w:p w:rsidR="00E24DBC" w:rsidRDefault="00A039D7">
            <w:pPr>
              <w:shd w:val="clear" w:color="auto" w:fill="FFFFFF"/>
              <w:spacing w:after="0"/>
              <w:rPr>
                <w:rFonts w:ascii="Arial" w:eastAsia="Times New Roman" w:hAnsi="Arial" w:cs="Arial"/>
                <w:lang w:eastAsia="pl-PL"/>
              </w:rPr>
            </w:pPr>
            <w:r>
              <w:rPr>
                <w:rFonts w:ascii="Arial" w:eastAsia="Times New Roman" w:hAnsi="Arial" w:cs="Arial"/>
                <w:lang w:eastAsia="pl-PL"/>
              </w:rPr>
              <w:t>Rękojmia należytego wykonywania funkcji</w:t>
            </w:r>
          </w:p>
        </w:tc>
        <w:tc>
          <w:tcPr>
            <w:tcW w:w="2976"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Niekaralność</w:t>
            </w:r>
          </w:p>
          <w:p w:rsidR="00E24DBC" w:rsidRDefault="00E24DBC">
            <w:pPr>
              <w:pStyle w:val="Akapitzlist"/>
              <w:spacing w:after="0"/>
              <w:ind w:left="0"/>
              <w:rPr>
                <w:rFonts w:ascii="Arial" w:eastAsia="Times New Roman" w:hAnsi="Arial" w:cs="Arial"/>
                <w:lang w:eastAsia="pl-PL"/>
              </w:rPr>
            </w:pPr>
          </w:p>
        </w:tc>
        <w:tc>
          <w:tcPr>
            <w:tcW w:w="313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członek Rady Nadzorczej, </w:t>
            </w:r>
          </w:p>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Kandydat do pełnienia tej funkcji</w:t>
            </w:r>
          </w:p>
        </w:tc>
      </w:tr>
      <w:tr w:rsidR="00E24DBC">
        <w:tc>
          <w:tcPr>
            <w:tcW w:w="567" w:type="dxa"/>
            <w:vMerge/>
          </w:tcPr>
          <w:p w:rsidR="00E24DBC" w:rsidRDefault="00E24DBC">
            <w:pPr>
              <w:shd w:val="clear" w:color="auto" w:fill="FFFFFF"/>
              <w:spacing w:after="0"/>
              <w:rPr>
                <w:rFonts w:ascii="Arial" w:eastAsia="Times New Roman" w:hAnsi="Arial" w:cs="Arial"/>
                <w:lang w:eastAsia="pl-PL"/>
              </w:rPr>
            </w:pPr>
          </w:p>
        </w:tc>
        <w:tc>
          <w:tcPr>
            <w:tcW w:w="2394" w:type="dxa"/>
            <w:vMerge/>
          </w:tcPr>
          <w:p w:rsidR="00E24DBC" w:rsidRDefault="00E24DBC">
            <w:pPr>
              <w:shd w:val="clear" w:color="auto" w:fill="FFFFFF"/>
              <w:spacing w:after="0"/>
              <w:rPr>
                <w:rFonts w:ascii="Arial" w:eastAsia="Times New Roman" w:hAnsi="Arial" w:cs="Arial"/>
                <w:lang w:eastAsia="pl-PL"/>
              </w:rPr>
            </w:pPr>
          </w:p>
        </w:tc>
        <w:tc>
          <w:tcPr>
            <w:tcW w:w="2976"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Rękojmia</w:t>
            </w:r>
          </w:p>
          <w:p w:rsidR="00E24DBC" w:rsidRDefault="00E24DBC">
            <w:pPr>
              <w:pStyle w:val="Akapitzlist"/>
              <w:spacing w:after="0"/>
              <w:ind w:left="0"/>
              <w:rPr>
                <w:rFonts w:ascii="Arial" w:eastAsia="Times New Roman" w:hAnsi="Arial" w:cs="Arial"/>
                <w:lang w:eastAsia="pl-PL"/>
              </w:rPr>
            </w:pPr>
          </w:p>
        </w:tc>
        <w:tc>
          <w:tcPr>
            <w:tcW w:w="313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członek Rady Nadzorczej, </w:t>
            </w:r>
          </w:p>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Kandydat do pełnienia tej </w:t>
            </w:r>
            <w:r>
              <w:rPr>
                <w:rFonts w:ascii="Arial" w:eastAsia="Times New Roman" w:hAnsi="Arial" w:cs="Arial"/>
                <w:lang w:eastAsia="pl-PL"/>
              </w:rPr>
              <w:t>funkcji</w:t>
            </w:r>
          </w:p>
        </w:tc>
      </w:tr>
      <w:tr w:rsidR="00E24DBC">
        <w:trPr>
          <w:trHeight w:val="1082"/>
        </w:trPr>
        <w:tc>
          <w:tcPr>
            <w:tcW w:w="567" w:type="dxa"/>
            <w:vMerge/>
          </w:tcPr>
          <w:p w:rsidR="00E24DBC" w:rsidRDefault="00E24DBC">
            <w:pPr>
              <w:shd w:val="clear" w:color="auto" w:fill="FFFFFF"/>
              <w:spacing w:after="0"/>
              <w:rPr>
                <w:rFonts w:ascii="Arial" w:eastAsia="Times New Roman" w:hAnsi="Arial" w:cs="Arial"/>
                <w:lang w:eastAsia="pl-PL"/>
              </w:rPr>
            </w:pPr>
          </w:p>
        </w:tc>
        <w:tc>
          <w:tcPr>
            <w:tcW w:w="2394" w:type="dxa"/>
            <w:vMerge/>
          </w:tcPr>
          <w:p w:rsidR="00E24DBC" w:rsidRDefault="00E24DBC">
            <w:pPr>
              <w:shd w:val="clear" w:color="auto" w:fill="FFFFFF"/>
              <w:spacing w:after="0"/>
              <w:rPr>
                <w:rFonts w:ascii="Arial" w:eastAsia="Times New Roman" w:hAnsi="Arial" w:cs="Arial"/>
                <w:lang w:eastAsia="pl-PL"/>
              </w:rPr>
            </w:pPr>
          </w:p>
        </w:tc>
        <w:tc>
          <w:tcPr>
            <w:tcW w:w="2976"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Sytuacja finansowa i konflikt interesów</w:t>
            </w:r>
          </w:p>
          <w:p w:rsidR="00E24DBC" w:rsidRDefault="00E24DBC">
            <w:pPr>
              <w:pStyle w:val="Akapitzlist"/>
              <w:spacing w:after="0"/>
              <w:ind w:left="0"/>
              <w:rPr>
                <w:rFonts w:ascii="Arial" w:eastAsia="Times New Roman" w:hAnsi="Arial" w:cs="Arial"/>
                <w:lang w:eastAsia="pl-PL"/>
              </w:rPr>
            </w:pPr>
          </w:p>
        </w:tc>
        <w:tc>
          <w:tcPr>
            <w:tcW w:w="313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członek Rady Nadzorczej, </w:t>
            </w:r>
          </w:p>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Kandydat do pełnienia tej funkcji</w:t>
            </w:r>
          </w:p>
        </w:tc>
      </w:tr>
      <w:tr w:rsidR="00E24DBC">
        <w:tc>
          <w:tcPr>
            <w:tcW w:w="567" w:type="dxa"/>
            <w:vMerge/>
          </w:tcPr>
          <w:p w:rsidR="00E24DBC" w:rsidRDefault="00E24DBC">
            <w:pPr>
              <w:shd w:val="clear" w:color="auto" w:fill="FFFFFF"/>
              <w:spacing w:after="0"/>
              <w:rPr>
                <w:rFonts w:ascii="Arial" w:eastAsia="Times New Roman" w:hAnsi="Arial" w:cs="Arial"/>
                <w:lang w:eastAsia="pl-PL"/>
              </w:rPr>
            </w:pPr>
          </w:p>
        </w:tc>
        <w:tc>
          <w:tcPr>
            <w:tcW w:w="2394" w:type="dxa"/>
            <w:vMerge/>
          </w:tcPr>
          <w:p w:rsidR="00E24DBC" w:rsidRDefault="00E24DBC">
            <w:pPr>
              <w:shd w:val="clear" w:color="auto" w:fill="FFFFFF"/>
              <w:spacing w:after="0"/>
              <w:rPr>
                <w:rFonts w:ascii="Arial" w:eastAsia="Times New Roman" w:hAnsi="Arial" w:cs="Arial"/>
                <w:lang w:eastAsia="pl-PL"/>
              </w:rPr>
            </w:pPr>
          </w:p>
        </w:tc>
        <w:tc>
          <w:tcPr>
            <w:tcW w:w="2976"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Niezależność osądu</w:t>
            </w:r>
          </w:p>
        </w:tc>
        <w:tc>
          <w:tcPr>
            <w:tcW w:w="313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członek Rady Nadzorczej, </w:t>
            </w:r>
          </w:p>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Kandydat do pełnienia tej funkcji </w:t>
            </w:r>
          </w:p>
        </w:tc>
      </w:tr>
      <w:tr w:rsidR="00E24DBC">
        <w:tc>
          <w:tcPr>
            <w:tcW w:w="567" w:type="dxa"/>
          </w:tcPr>
          <w:p w:rsidR="00E24DBC" w:rsidRDefault="00A039D7">
            <w:pPr>
              <w:shd w:val="clear" w:color="auto" w:fill="FFFFFF"/>
              <w:spacing w:after="0"/>
              <w:jc w:val="both"/>
              <w:rPr>
                <w:rFonts w:ascii="Arial" w:eastAsia="Times New Roman" w:hAnsi="Arial" w:cs="Arial"/>
                <w:lang w:eastAsia="pl-PL"/>
              </w:rPr>
            </w:pPr>
            <w:r>
              <w:rPr>
                <w:rFonts w:ascii="Arial" w:eastAsia="Times New Roman" w:hAnsi="Arial" w:cs="Arial"/>
                <w:lang w:eastAsia="pl-PL"/>
              </w:rPr>
              <w:t>III.</w:t>
            </w:r>
          </w:p>
        </w:tc>
        <w:tc>
          <w:tcPr>
            <w:tcW w:w="2394" w:type="dxa"/>
          </w:tcPr>
          <w:p w:rsidR="00E24DBC" w:rsidRDefault="00A039D7">
            <w:pPr>
              <w:shd w:val="clear" w:color="auto" w:fill="FFFFFF"/>
              <w:spacing w:after="0"/>
              <w:rPr>
                <w:rFonts w:ascii="Arial" w:eastAsia="Times New Roman" w:hAnsi="Arial" w:cs="Arial"/>
                <w:lang w:eastAsia="pl-PL"/>
              </w:rPr>
            </w:pPr>
            <w:r>
              <w:rPr>
                <w:rFonts w:ascii="Arial" w:eastAsia="Times New Roman" w:hAnsi="Arial" w:cs="Arial"/>
                <w:lang w:eastAsia="pl-PL"/>
              </w:rPr>
              <w:t xml:space="preserve">Poświęcanie czasu na wykonywanie obowiązków w Banku </w:t>
            </w:r>
          </w:p>
        </w:tc>
        <w:tc>
          <w:tcPr>
            <w:tcW w:w="2976"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Gotowość poświęcania wystarczającej ilości czasu</w:t>
            </w:r>
          </w:p>
        </w:tc>
        <w:tc>
          <w:tcPr>
            <w:tcW w:w="313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członek Rady Nadzorczej, </w:t>
            </w:r>
          </w:p>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Kandydat do pełnienia tej funkcji</w:t>
            </w:r>
          </w:p>
        </w:tc>
      </w:tr>
      <w:tr w:rsidR="00E24DBC">
        <w:trPr>
          <w:trHeight w:val="1266"/>
        </w:trPr>
        <w:tc>
          <w:tcPr>
            <w:tcW w:w="567" w:type="dxa"/>
          </w:tcPr>
          <w:p w:rsidR="00E24DBC" w:rsidRDefault="00A039D7">
            <w:pPr>
              <w:shd w:val="clear" w:color="auto" w:fill="FFFFFF"/>
              <w:spacing w:after="0"/>
              <w:jc w:val="both"/>
              <w:rPr>
                <w:rFonts w:ascii="Arial" w:eastAsia="Times New Roman" w:hAnsi="Arial" w:cs="Arial"/>
                <w:lang w:eastAsia="pl-PL"/>
              </w:rPr>
            </w:pPr>
            <w:r>
              <w:rPr>
                <w:rFonts w:ascii="Arial" w:eastAsia="Times New Roman" w:hAnsi="Arial" w:cs="Arial"/>
                <w:lang w:eastAsia="pl-PL"/>
              </w:rPr>
              <w:t>IV.</w:t>
            </w:r>
          </w:p>
        </w:tc>
        <w:tc>
          <w:tcPr>
            <w:tcW w:w="2394" w:type="dxa"/>
          </w:tcPr>
          <w:p w:rsidR="00E24DBC" w:rsidRDefault="00A039D7">
            <w:pPr>
              <w:shd w:val="clear" w:color="auto" w:fill="FFFFFF"/>
              <w:spacing w:after="0"/>
              <w:rPr>
                <w:rFonts w:ascii="Arial" w:eastAsia="Times New Roman" w:hAnsi="Arial" w:cs="Arial"/>
                <w:lang w:eastAsia="pl-PL"/>
              </w:rPr>
            </w:pPr>
            <w:r>
              <w:rPr>
                <w:rFonts w:ascii="Arial" w:eastAsia="Times New Roman" w:hAnsi="Arial" w:cs="Arial"/>
                <w:lang w:eastAsia="pl-PL"/>
              </w:rPr>
              <w:t>Łączenie stanowisk i funkcji</w:t>
            </w:r>
          </w:p>
          <w:p w:rsidR="00E24DBC" w:rsidRDefault="00E24DBC">
            <w:pPr>
              <w:pStyle w:val="Akapitzlist"/>
              <w:spacing w:after="0"/>
              <w:ind w:left="0"/>
              <w:rPr>
                <w:rFonts w:ascii="Arial" w:eastAsia="Times New Roman" w:hAnsi="Arial" w:cs="Arial"/>
                <w:lang w:eastAsia="pl-PL"/>
              </w:rPr>
            </w:pPr>
          </w:p>
        </w:tc>
        <w:tc>
          <w:tcPr>
            <w:tcW w:w="2976"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Przestrzeganie limitu funkcji dla banku</w:t>
            </w:r>
          </w:p>
        </w:tc>
        <w:tc>
          <w:tcPr>
            <w:tcW w:w="313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członek Rady Nadzorczej, </w:t>
            </w:r>
          </w:p>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Kandydat do pełnienia tej funkcji</w:t>
            </w:r>
          </w:p>
        </w:tc>
      </w:tr>
      <w:tr w:rsidR="00E24DBC">
        <w:tc>
          <w:tcPr>
            <w:tcW w:w="567" w:type="dxa"/>
          </w:tcPr>
          <w:p w:rsidR="00E24DBC" w:rsidRDefault="00A039D7">
            <w:pPr>
              <w:pStyle w:val="Akapitzlist"/>
              <w:spacing w:after="0"/>
              <w:ind w:left="0"/>
              <w:jc w:val="both"/>
              <w:rPr>
                <w:rFonts w:ascii="Arial" w:eastAsia="Times New Roman" w:hAnsi="Arial" w:cs="Arial"/>
                <w:lang w:eastAsia="pl-PL"/>
              </w:rPr>
            </w:pPr>
            <w:r>
              <w:rPr>
                <w:rFonts w:ascii="Arial" w:eastAsia="Times New Roman" w:hAnsi="Arial" w:cs="Arial"/>
                <w:lang w:eastAsia="pl-PL"/>
              </w:rPr>
              <w:t>V.</w:t>
            </w:r>
          </w:p>
        </w:tc>
        <w:tc>
          <w:tcPr>
            <w:tcW w:w="239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Niezależność </w:t>
            </w:r>
          </w:p>
        </w:tc>
        <w:tc>
          <w:tcPr>
            <w:tcW w:w="2976" w:type="dxa"/>
          </w:tcPr>
          <w:p w:rsidR="00E24DBC" w:rsidRDefault="00A039D7">
            <w:pPr>
              <w:spacing w:after="0" w:line="240" w:lineRule="auto"/>
              <w:rPr>
                <w:rFonts w:ascii="Arial" w:hAnsi="Arial" w:cs="Arial"/>
              </w:rPr>
            </w:pPr>
            <w:r>
              <w:rPr>
                <w:rFonts w:ascii="Arial" w:eastAsia="Calibri" w:hAnsi="Arial" w:cs="Arial"/>
              </w:rPr>
              <w:t>Spełnianie wymogów niezależności wynikających z ustawy z dnia 11 maja 2017 r. o biegłych rewidentach, firmach audytorskich oraz nadzorze publicznym</w:t>
            </w:r>
          </w:p>
        </w:tc>
        <w:tc>
          <w:tcPr>
            <w:tcW w:w="313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członek </w:t>
            </w:r>
          </w:p>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Komitetu Audytu lub Kandydat do pełnienia tej funkcji </w:t>
            </w:r>
          </w:p>
        </w:tc>
      </w:tr>
      <w:tr w:rsidR="00E24DBC">
        <w:tc>
          <w:tcPr>
            <w:tcW w:w="567" w:type="dxa"/>
          </w:tcPr>
          <w:p w:rsidR="00E24DBC" w:rsidRDefault="00A039D7">
            <w:pPr>
              <w:pStyle w:val="Akapitzlist"/>
              <w:spacing w:before="120" w:after="120" w:line="240" w:lineRule="auto"/>
              <w:ind w:left="0"/>
              <w:jc w:val="both"/>
              <w:rPr>
                <w:rFonts w:ascii="Arial" w:eastAsia="Times New Roman" w:hAnsi="Arial" w:cs="Arial"/>
                <w:szCs w:val="24"/>
                <w:lang w:eastAsia="pl-PL"/>
              </w:rPr>
            </w:pPr>
            <w:r>
              <w:rPr>
                <w:rFonts w:ascii="Arial" w:eastAsia="Times New Roman" w:hAnsi="Arial" w:cs="Arial"/>
                <w:szCs w:val="24"/>
                <w:lang w:eastAsia="pl-PL"/>
              </w:rPr>
              <w:lastRenderedPageBreak/>
              <w:t>VI.</w:t>
            </w:r>
          </w:p>
        </w:tc>
        <w:tc>
          <w:tcPr>
            <w:tcW w:w="2394" w:type="dxa"/>
          </w:tcPr>
          <w:p w:rsidR="00E24DBC" w:rsidRDefault="00A039D7">
            <w:pPr>
              <w:pStyle w:val="Akapitzlist"/>
              <w:spacing w:before="120" w:after="120" w:line="240" w:lineRule="auto"/>
              <w:ind w:left="0"/>
              <w:rPr>
                <w:rFonts w:ascii="Arial" w:eastAsia="Times New Roman" w:hAnsi="Arial" w:cs="Arial"/>
                <w:szCs w:val="24"/>
                <w:lang w:eastAsia="pl-PL"/>
              </w:rPr>
            </w:pPr>
            <w:r>
              <w:rPr>
                <w:rFonts w:ascii="Arial" w:eastAsia="Calibri" w:hAnsi="Arial" w:cs="Arial"/>
                <w:szCs w:val="24"/>
              </w:rPr>
              <w:t>Powiązania z Bankiem Spółdzielczym</w:t>
            </w:r>
          </w:p>
        </w:tc>
        <w:tc>
          <w:tcPr>
            <w:tcW w:w="2976" w:type="dxa"/>
          </w:tcPr>
          <w:p w:rsidR="00E24DBC" w:rsidRDefault="00A039D7">
            <w:pPr>
              <w:pStyle w:val="Akapitzlist"/>
              <w:spacing w:before="120" w:after="120" w:line="240" w:lineRule="auto"/>
              <w:ind w:left="0"/>
              <w:rPr>
                <w:rFonts w:ascii="Arial" w:eastAsia="Times New Roman" w:hAnsi="Arial" w:cs="Arial"/>
                <w:szCs w:val="24"/>
                <w:lang w:eastAsia="pl-PL"/>
              </w:rPr>
            </w:pPr>
            <w:r>
              <w:rPr>
                <w:rFonts w:ascii="Arial" w:eastAsia="Times New Roman" w:hAnsi="Arial" w:cs="Arial"/>
                <w:szCs w:val="24"/>
                <w:lang w:eastAsia="pl-PL"/>
              </w:rPr>
              <w:t xml:space="preserve">Spełnianie wymogów specyficznych dla banków spółdzielczych wynikających z Prawa spółdzielczego i UFBS </w:t>
            </w:r>
          </w:p>
        </w:tc>
        <w:tc>
          <w:tcPr>
            <w:tcW w:w="3134" w:type="dxa"/>
          </w:tcPr>
          <w:p w:rsidR="00E24DBC" w:rsidRDefault="00A039D7">
            <w:pPr>
              <w:pStyle w:val="Akapitzlist"/>
              <w:spacing w:after="0"/>
              <w:ind w:left="0"/>
              <w:rPr>
                <w:rFonts w:ascii="Arial" w:eastAsia="Times New Roman" w:hAnsi="Arial" w:cs="Arial"/>
                <w:lang w:eastAsia="pl-PL"/>
              </w:rPr>
            </w:pPr>
            <w:r>
              <w:rPr>
                <w:rFonts w:ascii="Arial" w:eastAsia="Times New Roman" w:hAnsi="Arial" w:cs="Arial"/>
                <w:lang w:eastAsia="pl-PL"/>
              </w:rPr>
              <w:t xml:space="preserve">członek Rady Nadzorczej, </w:t>
            </w:r>
          </w:p>
          <w:p w:rsidR="00E24DBC" w:rsidRDefault="00A039D7">
            <w:pPr>
              <w:pStyle w:val="Akapitzlist"/>
              <w:spacing w:before="120" w:after="120" w:line="240" w:lineRule="auto"/>
              <w:ind w:left="0"/>
              <w:rPr>
                <w:rFonts w:ascii="Arial" w:eastAsia="Times New Roman" w:hAnsi="Arial" w:cs="Arial"/>
                <w:szCs w:val="24"/>
                <w:lang w:eastAsia="pl-PL"/>
              </w:rPr>
            </w:pPr>
            <w:r>
              <w:rPr>
                <w:rFonts w:ascii="Arial" w:eastAsia="Times New Roman" w:hAnsi="Arial" w:cs="Arial"/>
                <w:lang w:eastAsia="pl-PL"/>
              </w:rPr>
              <w:t>Kandydat do pełnienia tej funkcji</w:t>
            </w:r>
          </w:p>
        </w:tc>
      </w:tr>
    </w:tbl>
    <w:p w:rsidR="00E24DBC" w:rsidRDefault="00E24DBC">
      <w:pPr>
        <w:shd w:val="clear" w:color="auto" w:fill="FFFFFF"/>
        <w:spacing w:after="0"/>
        <w:jc w:val="both"/>
        <w:rPr>
          <w:rFonts w:ascii="Arial" w:eastAsia="Times New Roman" w:hAnsi="Arial" w:cs="Arial"/>
          <w:b/>
          <w:highlight w:val="red"/>
          <w:lang w:eastAsia="pl-PL"/>
        </w:rPr>
      </w:pPr>
    </w:p>
    <w:p w:rsidR="00E24DBC" w:rsidRDefault="00A039D7">
      <w:pPr>
        <w:shd w:val="clear" w:color="auto" w:fill="FFFFFF"/>
        <w:spacing w:after="0"/>
        <w:ind w:left="389"/>
        <w:jc w:val="center"/>
        <w:rPr>
          <w:rFonts w:ascii="Arial" w:eastAsia="Times New Roman" w:hAnsi="Arial" w:cs="Arial"/>
          <w:b/>
          <w:lang w:eastAsia="pl-PL"/>
        </w:rPr>
      </w:pPr>
      <w:r>
        <w:rPr>
          <w:rFonts w:ascii="Arial" w:eastAsia="Times New Roman" w:hAnsi="Arial" w:cs="Arial"/>
          <w:b/>
          <w:lang w:eastAsia="pl-PL"/>
        </w:rPr>
        <w:t>§ 9.</w:t>
      </w:r>
      <w:r>
        <w:rPr>
          <w:rFonts w:ascii="Arial" w:eastAsia="Times New Roman" w:hAnsi="Arial" w:cs="Arial"/>
          <w:b/>
          <w:bCs/>
          <w:color w:val="000000"/>
          <w:lang w:eastAsia="pl-PL"/>
        </w:rPr>
        <w:t xml:space="preserve"> Kryteria oceny zbiorowej </w:t>
      </w:r>
    </w:p>
    <w:p w:rsidR="00E24DBC" w:rsidRDefault="00A039D7">
      <w:pPr>
        <w:numPr>
          <w:ilvl w:val="0"/>
          <w:numId w:val="1"/>
        </w:numPr>
        <w:shd w:val="clear" w:color="auto" w:fill="FFFFFF"/>
        <w:spacing w:after="0"/>
        <w:ind w:left="286" w:hanging="356"/>
        <w:jc w:val="both"/>
        <w:rPr>
          <w:rFonts w:ascii="Arial" w:eastAsia="Times New Roman" w:hAnsi="Arial" w:cs="Arial"/>
          <w:lang w:eastAsia="pl-PL"/>
        </w:rPr>
      </w:pPr>
      <w:r>
        <w:rPr>
          <w:rFonts w:ascii="Arial" w:eastAsia="Times New Roman" w:hAnsi="Arial" w:cs="Arial"/>
          <w:lang w:eastAsia="pl-PL"/>
        </w:rPr>
        <w:t xml:space="preserve">W procesie oceny odpowiedniości zbiorowej bada się </w:t>
      </w:r>
      <w:r>
        <w:rPr>
          <w:rFonts w:ascii="Arial" w:eastAsia="Times New Roman" w:hAnsi="Arial" w:cs="Arial"/>
          <w:lang w:eastAsia="pl-PL"/>
        </w:rPr>
        <w:t>wymogi odpowiedniości całego składu Rady Nadzorczej w celu sprawdzenia czy indywidualne kwalifikacje, umiejętności i doświadczenie poszczególnych członków Rady Nadzorczej dopełniają się w taki sposób, że zapewniony jest odpowiedni poziom nadzoru nad zarządzaniem Bankiem, w tym odpowiedni udział osób spełniających kryteria wynikające z przepisów szczegółowych (Komitet Audytu).</w:t>
      </w:r>
    </w:p>
    <w:p w:rsidR="00E24DBC" w:rsidRDefault="00A039D7">
      <w:pPr>
        <w:numPr>
          <w:ilvl w:val="0"/>
          <w:numId w:val="1"/>
        </w:numPr>
        <w:shd w:val="clear" w:color="auto" w:fill="FFFFFF"/>
        <w:spacing w:after="0"/>
        <w:ind w:left="286" w:hanging="356"/>
        <w:jc w:val="both"/>
        <w:rPr>
          <w:rFonts w:ascii="Arial" w:eastAsia="Times New Roman" w:hAnsi="Arial" w:cs="Arial"/>
          <w:color w:val="ED0000"/>
          <w:lang w:eastAsia="pl-PL"/>
        </w:rPr>
      </w:pPr>
      <w:r>
        <w:rPr>
          <w:rFonts w:ascii="Arial" w:hAnsi="Arial" w:cs="Arial"/>
        </w:rPr>
        <w:t>Określając oczekiwany poziom kompetencji, uwzględnia się wymóg, aby Rada Nadzorcza jako całość posiadała odpowiedni poziom kompetencji we wszystkich obszarach, co nie oznacza, że na każdym stanowisku wymagane są kompetencje na jednolicie wysokim poziomie we wszystkich obszarach</w:t>
      </w:r>
      <w:r>
        <w:rPr>
          <w:rFonts w:ascii="Arial" w:hAnsi="Arial" w:cs="Arial"/>
          <w:color w:val="ED0000"/>
        </w:rPr>
        <w:t>.</w:t>
      </w:r>
    </w:p>
    <w:p w:rsidR="00E24DBC" w:rsidRDefault="00A039D7">
      <w:pPr>
        <w:numPr>
          <w:ilvl w:val="0"/>
          <w:numId w:val="1"/>
        </w:numPr>
        <w:shd w:val="clear" w:color="auto" w:fill="FFFFFF"/>
        <w:spacing w:after="0"/>
        <w:ind w:left="286" w:hanging="356"/>
        <w:jc w:val="both"/>
        <w:rPr>
          <w:rFonts w:ascii="Arial" w:hAnsi="Arial" w:cs="Arial"/>
          <w:color w:val="141414"/>
        </w:rPr>
      </w:pPr>
      <w:r>
        <w:rPr>
          <w:rFonts w:ascii="Arial" w:eastAsia="Times New Roman" w:hAnsi="Arial" w:cs="Arial"/>
          <w:lang w:eastAsia="pl-PL"/>
        </w:rPr>
        <w:t xml:space="preserve">Odpowiedni udział osób spełniających kryteria właściwe dla Komitetu Audytu zawiera </w:t>
      </w:r>
      <w:r>
        <w:rPr>
          <w:rFonts w:ascii="Arial" w:hAnsi="Arial" w:cs="Arial"/>
        </w:rPr>
        <w:t>formularz oceny zbiorowej Komitetu Audytu</w:t>
      </w:r>
      <w:r>
        <w:rPr>
          <w:rFonts w:ascii="Arial" w:eastAsia="Times New Roman" w:hAnsi="Arial" w:cs="Arial"/>
          <w:lang w:eastAsia="pl-PL"/>
        </w:rPr>
        <w:t>.</w:t>
      </w:r>
    </w:p>
    <w:p w:rsidR="00E24DBC" w:rsidRDefault="00E24DBC">
      <w:pPr>
        <w:shd w:val="clear" w:color="auto" w:fill="FFFFFF"/>
        <w:spacing w:after="0"/>
        <w:jc w:val="center"/>
        <w:rPr>
          <w:rFonts w:ascii="Arial" w:eastAsia="Times New Roman" w:hAnsi="Arial" w:cs="Arial"/>
          <w:b/>
          <w:lang w:eastAsia="pl-PL"/>
        </w:rPr>
      </w:pPr>
    </w:p>
    <w:p w:rsidR="00E24DBC" w:rsidRDefault="00A039D7">
      <w:pPr>
        <w:shd w:val="clear" w:color="auto" w:fill="FFFFFF"/>
        <w:spacing w:after="0"/>
        <w:jc w:val="center"/>
        <w:rPr>
          <w:rFonts w:ascii="Arial" w:eastAsia="Times New Roman" w:hAnsi="Arial" w:cs="Arial"/>
          <w:b/>
          <w:lang w:eastAsia="pl-PL"/>
        </w:rPr>
      </w:pPr>
      <w:r>
        <w:rPr>
          <w:rFonts w:ascii="Arial" w:eastAsia="Times New Roman" w:hAnsi="Arial" w:cs="Arial"/>
          <w:b/>
          <w:lang w:eastAsia="pl-PL"/>
        </w:rPr>
        <w:t xml:space="preserve">§ 10. Zdarzenia uzasadniające przeprowadzenie oceny </w:t>
      </w:r>
    </w:p>
    <w:p w:rsidR="00E24DBC" w:rsidRDefault="00A039D7">
      <w:pPr>
        <w:pStyle w:val="Akapitzlist"/>
        <w:numPr>
          <w:ilvl w:val="0"/>
          <w:numId w:val="17"/>
        </w:numPr>
        <w:spacing w:after="0"/>
        <w:ind w:left="284"/>
        <w:contextualSpacing w:val="0"/>
        <w:jc w:val="both"/>
        <w:rPr>
          <w:rFonts w:ascii="Arial" w:hAnsi="Arial" w:cs="Arial"/>
          <w:lang w:eastAsia="pl-PL"/>
        </w:rPr>
      </w:pPr>
      <w:r>
        <w:rPr>
          <w:rFonts w:ascii="Arial" w:hAnsi="Arial" w:cs="Arial"/>
          <w:lang w:eastAsia="pl-PL"/>
        </w:rPr>
        <w:t>Indywidualną ocenę pierwotną przeprowadza się:</w:t>
      </w:r>
    </w:p>
    <w:p w:rsidR="00E24DBC" w:rsidRDefault="00A039D7">
      <w:pPr>
        <w:pStyle w:val="Akapitzlist"/>
        <w:numPr>
          <w:ilvl w:val="0"/>
          <w:numId w:val="10"/>
        </w:numPr>
        <w:spacing w:after="0"/>
        <w:ind w:left="709" w:hanging="425"/>
        <w:contextualSpacing w:val="0"/>
        <w:jc w:val="both"/>
        <w:rPr>
          <w:rFonts w:ascii="Arial" w:hAnsi="Arial" w:cs="Arial"/>
          <w:color w:val="141414"/>
        </w:rPr>
      </w:pPr>
      <w:r>
        <w:rPr>
          <w:rFonts w:ascii="Arial" w:hAnsi="Arial" w:cs="Arial"/>
          <w:color w:val="141414"/>
        </w:rPr>
        <w:t>przed powołaniem osoby w skład Rady Nadzorczej po raz pierwszy;</w:t>
      </w:r>
    </w:p>
    <w:p w:rsidR="00E24DBC" w:rsidRDefault="00A039D7">
      <w:pPr>
        <w:pStyle w:val="Akapitzlist"/>
        <w:numPr>
          <w:ilvl w:val="0"/>
          <w:numId w:val="10"/>
        </w:numPr>
        <w:spacing w:after="0"/>
        <w:ind w:left="709" w:hanging="425"/>
        <w:contextualSpacing w:val="0"/>
        <w:jc w:val="both"/>
        <w:rPr>
          <w:rFonts w:ascii="Arial" w:hAnsi="Arial" w:cs="Arial"/>
          <w:color w:val="141414"/>
        </w:rPr>
      </w:pPr>
      <w:r>
        <w:rPr>
          <w:rFonts w:ascii="Arial" w:hAnsi="Arial" w:cs="Arial"/>
          <w:color w:val="141414"/>
        </w:rPr>
        <w:t>przed czasowym oddelegowaniem członka Rady Nadzorczej do Zarządu;</w:t>
      </w:r>
    </w:p>
    <w:p w:rsidR="00E24DBC" w:rsidRDefault="00A039D7">
      <w:pPr>
        <w:pStyle w:val="Akapitzlist"/>
        <w:numPr>
          <w:ilvl w:val="0"/>
          <w:numId w:val="10"/>
        </w:numPr>
        <w:spacing w:after="0"/>
        <w:ind w:left="709" w:hanging="425"/>
        <w:contextualSpacing w:val="0"/>
        <w:jc w:val="both"/>
        <w:rPr>
          <w:rFonts w:ascii="Arial" w:hAnsi="Arial" w:cs="Arial"/>
          <w:color w:val="141414"/>
        </w:rPr>
      </w:pPr>
      <w:r>
        <w:rPr>
          <w:rFonts w:ascii="Arial" w:eastAsia="Times New Roman" w:hAnsi="Arial" w:cs="Arial"/>
          <w:lang w:eastAsia="pl-PL"/>
        </w:rPr>
        <w:t>powołaniem członka Rady Nadzorczej w skład Komitetu Audytu (w zakresie spełniania kryteriów specyficznych dla Komitetu Audytu).</w:t>
      </w:r>
    </w:p>
    <w:p w:rsidR="00E24DBC" w:rsidRDefault="00A039D7">
      <w:pPr>
        <w:pStyle w:val="Akapitzlist"/>
        <w:numPr>
          <w:ilvl w:val="0"/>
          <w:numId w:val="17"/>
        </w:numPr>
        <w:shd w:val="clear" w:color="auto" w:fill="FFFFFF"/>
        <w:spacing w:after="0"/>
        <w:ind w:left="284"/>
        <w:contextualSpacing w:val="0"/>
        <w:jc w:val="both"/>
        <w:rPr>
          <w:rFonts w:ascii="Arial" w:eastAsia="Times New Roman" w:hAnsi="Arial" w:cs="Arial"/>
          <w:bCs/>
          <w:color w:val="000000"/>
          <w:lang w:eastAsia="pl-PL"/>
        </w:rPr>
      </w:pPr>
      <w:r>
        <w:rPr>
          <w:rFonts w:ascii="Arial" w:eastAsia="Times New Roman" w:hAnsi="Arial" w:cs="Arial"/>
          <w:lang w:eastAsia="pl-PL"/>
        </w:rPr>
        <w:t>Indywidualną ocenę wtórną przeprowadza się:</w:t>
      </w:r>
    </w:p>
    <w:p w:rsidR="00E24DBC" w:rsidRDefault="00A039D7">
      <w:pPr>
        <w:pStyle w:val="Akapitzlist"/>
        <w:numPr>
          <w:ilvl w:val="0"/>
          <w:numId w:val="11"/>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okresowo co najmniej raz na 2 lata;</w:t>
      </w:r>
    </w:p>
    <w:p w:rsidR="00E24DBC" w:rsidRDefault="00A039D7">
      <w:pPr>
        <w:pStyle w:val="Akapitzlist"/>
        <w:numPr>
          <w:ilvl w:val="0"/>
          <w:numId w:val="11"/>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 xml:space="preserve">w ramach kontroli/przeglądu zasad ładu korporacyjnego, jeżeli w ramach kontroli lub przeglądu stosowania zasad </w:t>
      </w:r>
      <w:r>
        <w:rPr>
          <w:rFonts w:ascii="Arial" w:eastAsia="Times New Roman" w:hAnsi="Arial" w:cs="Arial"/>
          <w:lang w:eastAsia="pl-PL"/>
        </w:rPr>
        <w:t>wyszły na jaw okoliczności powodujące potrzebę przeprowadzenia takiej oceny</w:t>
      </w:r>
      <w:r>
        <w:rPr>
          <w:rFonts w:ascii="Arial" w:eastAsia="Times New Roman" w:hAnsi="Arial" w:cs="Arial"/>
          <w:bCs/>
          <w:color w:val="000000"/>
          <w:lang w:eastAsia="pl-PL"/>
        </w:rPr>
        <w:t>;</w:t>
      </w:r>
    </w:p>
    <w:p w:rsidR="00E24DBC" w:rsidRDefault="00A039D7">
      <w:pPr>
        <w:pStyle w:val="Akapitzlist"/>
        <w:numPr>
          <w:ilvl w:val="0"/>
          <w:numId w:val="11"/>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przed końcem kadencji (niezależnie od tego, czy jest planowane powołanie danej osoby na kolejną kadencję);</w:t>
      </w:r>
    </w:p>
    <w:p w:rsidR="00E24DBC" w:rsidRDefault="00A039D7">
      <w:pPr>
        <w:pStyle w:val="Akapitzlist"/>
        <w:numPr>
          <w:ilvl w:val="0"/>
          <w:numId w:val="11"/>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w razie zmiany zakresu kompetencji lub wymogów dotyczących stanowiska;</w:t>
      </w:r>
    </w:p>
    <w:p w:rsidR="00E24DBC" w:rsidRDefault="00A039D7">
      <w:pPr>
        <w:pStyle w:val="Akapitzlist"/>
        <w:numPr>
          <w:ilvl w:val="0"/>
          <w:numId w:val="11"/>
        </w:numPr>
        <w:shd w:val="clear" w:color="auto" w:fill="FFFFFF"/>
        <w:spacing w:after="0"/>
        <w:contextualSpacing w:val="0"/>
        <w:jc w:val="both"/>
        <w:rPr>
          <w:rFonts w:ascii="Arial" w:eastAsia="Times New Roman" w:hAnsi="Arial" w:cs="Arial"/>
          <w:bCs/>
          <w:color w:val="000000"/>
          <w:lang w:eastAsia="pl-PL"/>
        </w:rPr>
      </w:pPr>
      <w:bookmarkStart w:id="9" w:name="_Hlk160607215"/>
      <w:r>
        <w:rPr>
          <w:rFonts w:ascii="Arial" w:eastAsia="Times New Roman" w:hAnsi="Arial" w:cs="Arial"/>
          <w:bCs/>
          <w:color w:val="000000"/>
          <w:lang w:eastAsia="pl-PL"/>
        </w:rPr>
        <w:t xml:space="preserve">w razie otrzymania informacji o przedstawieniu zarzutów w postępowaniu karnym, w szczególności jeśli w związku z działaniem lub zaniechaniem określonych działań popełniono lub usiłowano popełnić przestępstwo prania pieniędzy lub finansowania terroryzmu, </w:t>
      </w:r>
      <w:bookmarkEnd w:id="9"/>
      <w:r>
        <w:rPr>
          <w:rFonts w:ascii="Arial" w:eastAsia="Times New Roman" w:hAnsi="Arial" w:cs="Arial"/>
          <w:bCs/>
          <w:color w:val="000000"/>
          <w:lang w:eastAsia="pl-PL"/>
        </w:rPr>
        <w:t>w postępowaniu w sprawie o przestępstwo skarbowe lub spowodowaniu znacznych strat majątkowych;</w:t>
      </w:r>
    </w:p>
    <w:p w:rsidR="00E24DBC" w:rsidRDefault="00A039D7">
      <w:pPr>
        <w:pStyle w:val="Akapitzlist"/>
        <w:numPr>
          <w:ilvl w:val="0"/>
          <w:numId w:val="11"/>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 xml:space="preserve">w razie wyjścia na jaw nowych okoliczności mogących wpływać na ocenę, </w:t>
      </w:r>
      <w:r>
        <w:rPr>
          <w:rFonts w:ascii="Arial" w:eastAsia="Times New Roman" w:hAnsi="Arial" w:cs="Arial"/>
          <w:bCs/>
          <w:color w:val="000000"/>
          <w:lang w:eastAsia="pl-PL"/>
        </w:rPr>
        <w:br/>
        <w:t>w szczególności w odniesieniu do zidentyfikowanych przypadków potencjalnego konfliktu interesów;</w:t>
      </w:r>
    </w:p>
    <w:p w:rsidR="00E24DBC" w:rsidRDefault="00A039D7">
      <w:pPr>
        <w:pStyle w:val="Akapitzlist"/>
        <w:numPr>
          <w:ilvl w:val="0"/>
          <w:numId w:val="11"/>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w sytuacji powierzenia danej osobie podlegającej ocenie dodatkowych kompetencji/objęcia dodatkowych stanowisk (pod kątem spełnienia kryterium poświęcania czasu, łączenia funkcji oraz konfliktu interesów);</w:t>
      </w:r>
    </w:p>
    <w:p w:rsidR="00E24DBC" w:rsidRDefault="00A039D7">
      <w:pPr>
        <w:pStyle w:val="Akapitzlist"/>
        <w:numPr>
          <w:ilvl w:val="0"/>
          <w:numId w:val="11"/>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w razie zidentyfikowania istotnych naruszeń obowiązków członków Rady Nadzorczej, w tym w szczególności w zakresie wywiązywania się z powierzonych obowiązków;</w:t>
      </w:r>
    </w:p>
    <w:p w:rsidR="00E24DBC" w:rsidRDefault="00A039D7">
      <w:pPr>
        <w:pStyle w:val="Akapitzlist"/>
        <w:numPr>
          <w:ilvl w:val="0"/>
          <w:numId w:val="11"/>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przed planowanym odwołaniem członka Rady Nadzorczej;</w:t>
      </w:r>
    </w:p>
    <w:p w:rsidR="00E24DBC" w:rsidRDefault="00A039D7">
      <w:pPr>
        <w:pStyle w:val="Akapitzlist"/>
        <w:numPr>
          <w:ilvl w:val="0"/>
          <w:numId w:val="11"/>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w każdym innym przypadku mającym znaczący wpływ na odpowiedniość członków Rady Nadzorczej.</w:t>
      </w:r>
    </w:p>
    <w:p w:rsidR="00E24DBC" w:rsidRDefault="00A039D7">
      <w:pPr>
        <w:pStyle w:val="Akapitzlist"/>
        <w:numPr>
          <w:ilvl w:val="0"/>
          <w:numId w:val="12"/>
        </w:numPr>
        <w:shd w:val="clear" w:color="auto" w:fill="FFFFFF"/>
        <w:spacing w:after="0"/>
        <w:ind w:left="284"/>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lastRenderedPageBreak/>
        <w:t>Jeżeli jednocześnie zachodzi więcej niż jedna przesłanka, o której mowa w ust. 2, ocena może być przeprowadzona jednokrotnie.</w:t>
      </w:r>
    </w:p>
    <w:p w:rsidR="00E24DBC" w:rsidRDefault="00A039D7">
      <w:pPr>
        <w:pStyle w:val="Akapitzlist"/>
        <w:numPr>
          <w:ilvl w:val="0"/>
          <w:numId w:val="14"/>
        </w:numPr>
        <w:shd w:val="clear" w:color="auto" w:fill="FFFFFF"/>
        <w:spacing w:after="0"/>
        <w:ind w:left="284"/>
        <w:jc w:val="both"/>
        <w:rPr>
          <w:rFonts w:ascii="Arial" w:eastAsia="Times New Roman" w:hAnsi="Arial" w:cs="Arial"/>
          <w:bCs/>
          <w:color w:val="000000"/>
          <w:lang w:eastAsia="pl-PL"/>
        </w:rPr>
      </w:pPr>
      <w:r>
        <w:rPr>
          <w:rFonts w:ascii="Arial" w:eastAsia="Times New Roman" w:hAnsi="Arial" w:cs="Arial"/>
          <w:bCs/>
          <w:color w:val="000000"/>
          <w:lang w:eastAsia="pl-PL"/>
        </w:rPr>
        <w:t>Zbiorową ocenę przeprowadza się:</w:t>
      </w:r>
    </w:p>
    <w:p w:rsidR="00E24DBC" w:rsidRDefault="00A039D7">
      <w:pPr>
        <w:pStyle w:val="Akapitzlist"/>
        <w:numPr>
          <w:ilvl w:val="0"/>
          <w:numId w:val="13"/>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 xml:space="preserve">przed powołaniem nowego składu Rady Nadzorczej na nową kadencję, niezależnie od tego, czy skład organu się zmienił, a jeżeli </w:t>
      </w:r>
      <w:r>
        <w:rPr>
          <w:rFonts w:ascii="Arial" w:hAnsi="Arial" w:cs="Arial"/>
        </w:rPr>
        <w:t xml:space="preserve">Kandydatów jest więcej niż miejsc do obsadzenia, </w:t>
      </w:r>
      <w:r>
        <w:rPr>
          <w:rFonts w:ascii="Arial" w:eastAsia="Times New Roman" w:hAnsi="Arial" w:cs="Arial"/>
          <w:lang w:eastAsia="pl-PL"/>
        </w:rPr>
        <w:t>ocenę przeprowadza się bezpośrednio po powołaniu</w:t>
      </w:r>
      <w:r>
        <w:rPr>
          <w:rFonts w:ascii="Arial" w:eastAsia="Times New Roman" w:hAnsi="Arial" w:cs="Arial"/>
          <w:bCs/>
          <w:color w:val="000000"/>
          <w:lang w:eastAsia="pl-PL"/>
        </w:rPr>
        <w:t>;</w:t>
      </w:r>
    </w:p>
    <w:p w:rsidR="00E24DBC" w:rsidRDefault="00A039D7">
      <w:pPr>
        <w:pStyle w:val="Akapitzlist"/>
        <w:numPr>
          <w:ilvl w:val="0"/>
          <w:numId w:val="13"/>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w razie zmiany podziału kompetencji w ramach Rady Nadzorczej (w tym w zakresie udziału w Komitecie Audytu);</w:t>
      </w:r>
    </w:p>
    <w:p w:rsidR="00E24DBC" w:rsidRDefault="00A039D7">
      <w:pPr>
        <w:pStyle w:val="Akapitzlist"/>
        <w:numPr>
          <w:ilvl w:val="0"/>
          <w:numId w:val="13"/>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 xml:space="preserve">przed przeprowadzeniem jakichkolwiek zmian w składzie Rady Nadzorczej, w szczególności powołania, odwołania, rezygnacji lub zawieszenia członków organu (lub bezpośrednio po tych zmianach, jeżeli z przyczyn niezależnych od Banku nie było możliwe wcześniejsze przeprowadzenie oceny – np. w razie złożenia przez członka organu rezygnacji ze skutkiem natychmiastowym lub większej liczby Kandydatów niż miejsc </w:t>
      </w:r>
      <w:r>
        <w:rPr>
          <w:rFonts w:ascii="Arial" w:eastAsia="Times New Roman" w:hAnsi="Arial" w:cs="Arial"/>
          <w:bCs/>
          <w:color w:val="000000"/>
          <w:lang w:eastAsia="pl-PL"/>
        </w:rPr>
        <w:br/>
        <w:t>do obsadzenia);</w:t>
      </w:r>
    </w:p>
    <w:p w:rsidR="00E24DBC" w:rsidRDefault="00A039D7">
      <w:pPr>
        <w:pStyle w:val="Akapitzlist"/>
        <w:numPr>
          <w:ilvl w:val="0"/>
          <w:numId w:val="13"/>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 xml:space="preserve">kiedy następuje istotna zmiana w zakresie modelu biznesowego Banku, gotowości </w:t>
      </w:r>
      <w:r>
        <w:rPr>
          <w:rFonts w:ascii="Arial" w:eastAsia="Times New Roman" w:hAnsi="Arial" w:cs="Arial"/>
          <w:bCs/>
          <w:color w:val="000000"/>
          <w:lang w:eastAsia="pl-PL"/>
        </w:rPr>
        <w:br/>
        <w:t>do podejmowania ryzyka lub strategii dotyczących ryzyka bądź struktury;</w:t>
      </w:r>
    </w:p>
    <w:p w:rsidR="00E24DBC" w:rsidRDefault="00A039D7">
      <w:pPr>
        <w:pStyle w:val="Akapitzlist"/>
        <w:numPr>
          <w:ilvl w:val="0"/>
          <w:numId w:val="13"/>
        </w:numPr>
        <w:shd w:val="clear" w:color="auto" w:fill="FFFFFF"/>
        <w:spacing w:after="0"/>
        <w:jc w:val="both"/>
        <w:rPr>
          <w:rFonts w:ascii="Arial" w:eastAsia="Times New Roman" w:hAnsi="Arial" w:cs="Arial"/>
          <w:bCs/>
          <w:color w:val="000000"/>
          <w:lang w:eastAsia="pl-PL"/>
        </w:rPr>
      </w:pPr>
      <w:r>
        <w:rPr>
          <w:rFonts w:ascii="Arial" w:eastAsia="Times New Roman" w:hAnsi="Arial" w:cs="Arial"/>
          <w:bCs/>
          <w:color w:val="000000"/>
          <w:lang w:eastAsia="pl-PL"/>
        </w:rPr>
        <w:t>w razie postawienia członkom lub członkowi Rady Nadzorczej zarzutów, dotyczących tego, że w związku z ich działaniem lub zaniechaniem popełniono lub usiłowano popełnić przestępstwo prania pieniędzy lub finansowania terroryzmu lub, że wobec postawionych zarzutów istnieje większe ryzyko jego popełnienia;</w:t>
      </w:r>
    </w:p>
    <w:p w:rsidR="00E24DBC" w:rsidRDefault="00A039D7">
      <w:pPr>
        <w:pStyle w:val="Akapitzlist"/>
        <w:numPr>
          <w:ilvl w:val="0"/>
          <w:numId w:val="13"/>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w razie wyjścia na jaw nowych okoliczności mogących wpływać na ocenę zbiorową odpowiedniości Rady Nadzorczej;</w:t>
      </w:r>
    </w:p>
    <w:p w:rsidR="00E24DBC" w:rsidRDefault="00A039D7">
      <w:pPr>
        <w:pStyle w:val="Akapitzlist"/>
        <w:numPr>
          <w:ilvl w:val="0"/>
          <w:numId w:val="13"/>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 xml:space="preserve">jeżeli w ramach kontroli lub przeglądu stosowania Zasad Ładu Korporacyjnego </w:t>
      </w:r>
      <w:r>
        <w:rPr>
          <w:rFonts w:ascii="Arial" w:eastAsia="Times New Roman" w:hAnsi="Arial" w:cs="Arial"/>
          <w:lang w:eastAsia="pl-PL"/>
        </w:rPr>
        <w:t>wyszły na jaw okoliczności powodujące potrzebę przeprowadzenia takiej oceny</w:t>
      </w:r>
      <w:r>
        <w:rPr>
          <w:rFonts w:ascii="Arial" w:eastAsia="Times New Roman" w:hAnsi="Arial" w:cs="Arial"/>
          <w:bCs/>
          <w:color w:val="000000"/>
          <w:lang w:eastAsia="pl-PL"/>
        </w:rPr>
        <w:t>;</w:t>
      </w:r>
    </w:p>
    <w:p w:rsidR="00E24DBC" w:rsidRDefault="00A039D7">
      <w:pPr>
        <w:pStyle w:val="Akapitzlist"/>
        <w:numPr>
          <w:ilvl w:val="0"/>
          <w:numId w:val="13"/>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w razie istotnej zmiany oceny odpowiedniości poszczególnych członków Rady Nadzorczej;</w:t>
      </w:r>
    </w:p>
    <w:p w:rsidR="00E24DBC" w:rsidRDefault="00A039D7">
      <w:pPr>
        <w:pStyle w:val="Akapitzlist"/>
        <w:numPr>
          <w:ilvl w:val="0"/>
          <w:numId w:val="13"/>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 xml:space="preserve">przy powołaniu i każdej zmianie składu Komitetu Audytu – pod kątem spełniania przez odpowiednią liczbę członków kryteriów niezależności oraz wiedzy i umiejętności </w:t>
      </w:r>
      <w:r>
        <w:rPr>
          <w:rFonts w:ascii="Arial" w:eastAsia="Times New Roman" w:hAnsi="Arial" w:cs="Arial"/>
          <w:bCs/>
          <w:color w:val="000000"/>
          <w:lang w:eastAsia="pl-PL"/>
        </w:rPr>
        <w:br/>
        <w:t>w zakresie rachunkowości lub badania sprawozdań finansowych (tj. przestrzegania przepisów dotyczących powołania i składu Komitetu Audytu);</w:t>
      </w:r>
    </w:p>
    <w:p w:rsidR="00E24DBC" w:rsidRDefault="00A039D7">
      <w:pPr>
        <w:pStyle w:val="Akapitzlist"/>
        <w:numPr>
          <w:ilvl w:val="0"/>
          <w:numId w:val="13"/>
        </w:numPr>
        <w:shd w:val="clear" w:color="auto" w:fill="FFFFFF"/>
        <w:spacing w:after="0"/>
        <w:jc w:val="both"/>
        <w:rPr>
          <w:rFonts w:ascii="Arial" w:eastAsia="Times New Roman" w:hAnsi="Arial" w:cs="Arial"/>
          <w:bCs/>
          <w:color w:val="000000"/>
          <w:lang w:eastAsia="pl-PL"/>
        </w:rPr>
      </w:pPr>
      <w:r>
        <w:rPr>
          <w:rFonts w:ascii="Arial" w:eastAsia="Times New Roman" w:hAnsi="Arial" w:cs="Arial"/>
          <w:bCs/>
          <w:color w:val="000000"/>
          <w:lang w:eastAsia="pl-PL"/>
        </w:rPr>
        <w:t xml:space="preserve">przy powierzeniu Radzie Nadzorczej in </w:t>
      </w:r>
      <w:proofErr w:type="spellStart"/>
      <w:r>
        <w:rPr>
          <w:rFonts w:ascii="Arial" w:eastAsia="Times New Roman" w:hAnsi="Arial" w:cs="Arial"/>
          <w:bCs/>
          <w:color w:val="000000"/>
          <w:lang w:eastAsia="pl-PL"/>
        </w:rPr>
        <w:t>gremio</w:t>
      </w:r>
      <w:proofErr w:type="spellEnd"/>
      <w:r>
        <w:rPr>
          <w:rFonts w:ascii="Arial" w:eastAsia="Times New Roman" w:hAnsi="Arial" w:cs="Arial"/>
          <w:bCs/>
          <w:color w:val="000000"/>
          <w:lang w:eastAsia="pl-PL"/>
        </w:rPr>
        <w:t xml:space="preserve"> pełnienia funkcji Komitetu Audytu – pod kątem spełniania przez odpowiednią liczbę członków kryteriów niezależności oraz wiedzy i umiejętności w zakresie rachunkowości lub badania sprawozdań finansowych;</w:t>
      </w:r>
    </w:p>
    <w:p w:rsidR="00E24DBC" w:rsidRDefault="00A039D7">
      <w:pPr>
        <w:pStyle w:val="Akapitzlist"/>
        <w:numPr>
          <w:ilvl w:val="0"/>
          <w:numId w:val="13"/>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okresowo co najmniej raz na 2 lata;</w:t>
      </w:r>
    </w:p>
    <w:p w:rsidR="00E24DBC" w:rsidRDefault="00A039D7">
      <w:pPr>
        <w:pStyle w:val="Akapitzlist"/>
        <w:numPr>
          <w:ilvl w:val="0"/>
          <w:numId w:val="13"/>
        </w:numPr>
        <w:shd w:val="clear" w:color="auto" w:fill="FFFFFF"/>
        <w:spacing w:after="0"/>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 xml:space="preserve">w każdym innym </w:t>
      </w:r>
      <w:r>
        <w:rPr>
          <w:rFonts w:ascii="Arial" w:eastAsia="Times New Roman" w:hAnsi="Arial" w:cs="Arial"/>
          <w:bCs/>
          <w:color w:val="000000"/>
          <w:lang w:eastAsia="pl-PL"/>
        </w:rPr>
        <w:t>przypadku mającym znaczący wpływ na odpowiedniość zbiorową Rady Nadzorczej.</w:t>
      </w:r>
    </w:p>
    <w:p w:rsidR="00E24DBC" w:rsidRDefault="00A039D7">
      <w:pPr>
        <w:pStyle w:val="Akapitzlist"/>
        <w:numPr>
          <w:ilvl w:val="0"/>
          <w:numId w:val="15"/>
        </w:numPr>
        <w:shd w:val="clear" w:color="auto" w:fill="FFFFFF"/>
        <w:spacing w:after="0"/>
        <w:ind w:left="284"/>
        <w:contextualSpacing w:val="0"/>
        <w:jc w:val="both"/>
        <w:rPr>
          <w:rFonts w:ascii="Arial" w:eastAsia="Times New Roman" w:hAnsi="Arial" w:cs="Arial"/>
          <w:bCs/>
          <w:color w:val="000000"/>
          <w:lang w:eastAsia="pl-PL"/>
        </w:rPr>
      </w:pPr>
      <w:r>
        <w:rPr>
          <w:rFonts w:ascii="Arial" w:eastAsia="Times New Roman" w:hAnsi="Arial" w:cs="Arial"/>
          <w:bCs/>
          <w:color w:val="000000"/>
          <w:lang w:eastAsia="pl-PL"/>
        </w:rPr>
        <w:t>Jeżeli jednocześnie zachodzi więcej niż jedna przesłanka, o której mowa w ust. 4, ocena może być przeprowadzona jednokrotnie.</w:t>
      </w:r>
    </w:p>
    <w:p w:rsidR="00E24DBC" w:rsidRDefault="00E24DBC">
      <w:pPr>
        <w:pStyle w:val="Akapitzlist"/>
        <w:shd w:val="clear" w:color="auto" w:fill="FFFFFF"/>
        <w:spacing w:after="0"/>
        <w:ind w:left="360"/>
        <w:contextualSpacing w:val="0"/>
        <w:jc w:val="both"/>
        <w:rPr>
          <w:rFonts w:ascii="Arial" w:eastAsia="Times New Roman" w:hAnsi="Arial" w:cs="Arial"/>
          <w:bCs/>
          <w:color w:val="000000"/>
          <w:lang w:eastAsia="pl-PL"/>
        </w:rPr>
      </w:pPr>
    </w:p>
    <w:p w:rsidR="00E24DBC" w:rsidRDefault="00A039D7">
      <w:pPr>
        <w:pStyle w:val="Nagwek1"/>
        <w:spacing w:before="0"/>
        <w:jc w:val="center"/>
        <w:rPr>
          <w:rFonts w:ascii="Arial" w:eastAsia="Times New Roman" w:hAnsi="Arial" w:cs="Arial"/>
          <w:sz w:val="22"/>
          <w:szCs w:val="22"/>
          <w:lang w:eastAsia="pl-PL"/>
        </w:rPr>
      </w:pPr>
      <w:bookmarkStart w:id="10" w:name="_Toc164253558"/>
      <w:bookmarkStart w:id="11" w:name="_Toc39843507"/>
      <w:r>
        <w:rPr>
          <w:rFonts w:ascii="Arial" w:eastAsia="Times New Roman" w:hAnsi="Arial" w:cs="Arial"/>
          <w:color w:val="auto"/>
          <w:sz w:val="22"/>
          <w:szCs w:val="22"/>
          <w:u w:val="single"/>
          <w:lang w:eastAsia="pl-PL"/>
        </w:rPr>
        <w:t>Rozdział 3. Przebieg procesu oceny odpowiedniości</w:t>
      </w:r>
      <w:bookmarkEnd w:id="10"/>
      <w:bookmarkEnd w:id="11"/>
    </w:p>
    <w:p w:rsidR="00E24DBC" w:rsidRDefault="00A039D7">
      <w:pPr>
        <w:shd w:val="clear" w:color="auto" w:fill="FFFFFF"/>
        <w:spacing w:after="0"/>
        <w:jc w:val="center"/>
        <w:rPr>
          <w:rFonts w:ascii="Arial" w:eastAsiaTheme="majorEastAsia" w:hAnsi="Arial" w:cs="Arial"/>
          <w:b/>
          <w:bCs/>
          <w:u w:val="single"/>
          <w:lang w:eastAsia="pl-PL"/>
        </w:rPr>
      </w:pPr>
      <w:r>
        <w:rPr>
          <w:rFonts w:ascii="Arial" w:eastAsia="Times New Roman" w:hAnsi="Arial" w:cs="Arial"/>
          <w:b/>
          <w:bCs/>
          <w:color w:val="000000"/>
          <w:lang w:eastAsia="pl-PL"/>
        </w:rPr>
        <w:tab/>
      </w:r>
    </w:p>
    <w:p w:rsidR="00E24DBC" w:rsidRDefault="00A039D7">
      <w:pPr>
        <w:pStyle w:val="Akapitzlist"/>
        <w:shd w:val="clear" w:color="auto" w:fill="FFFFFF"/>
        <w:spacing w:after="0"/>
        <w:jc w:val="center"/>
        <w:rPr>
          <w:rFonts w:ascii="Arial" w:eastAsia="Times New Roman" w:hAnsi="Arial" w:cs="Arial"/>
          <w:b/>
          <w:bCs/>
          <w:color w:val="000000"/>
          <w:lang w:eastAsia="pl-PL"/>
        </w:rPr>
      </w:pPr>
      <w:r>
        <w:rPr>
          <w:rFonts w:ascii="Arial" w:eastAsia="Times New Roman" w:hAnsi="Arial" w:cs="Arial"/>
          <w:b/>
          <w:bCs/>
          <w:color w:val="000000"/>
          <w:lang w:eastAsia="pl-PL"/>
        </w:rPr>
        <w:t xml:space="preserve">§ 11. Ocena indywidualna członka Rady Nadzorczej lub Kandydata </w:t>
      </w:r>
    </w:p>
    <w:p w:rsidR="00E24DBC" w:rsidRDefault="00A039D7">
      <w:pPr>
        <w:pStyle w:val="Akapitzlist"/>
        <w:shd w:val="clear" w:color="auto" w:fill="FFFFFF"/>
        <w:spacing w:after="0"/>
        <w:jc w:val="center"/>
        <w:rPr>
          <w:rFonts w:ascii="Arial" w:hAnsi="Arial" w:cs="Arial"/>
          <w:lang w:eastAsia="pl-PL"/>
        </w:rPr>
      </w:pPr>
      <w:r>
        <w:rPr>
          <w:rFonts w:ascii="Arial" w:eastAsia="Times New Roman" w:hAnsi="Arial" w:cs="Arial"/>
          <w:b/>
          <w:bCs/>
          <w:color w:val="000000"/>
          <w:lang w:eastAsia="pl-PL"/>
        </w:rPr>
        <w:t>na członka Rady Nadzorczej</w:t>
      </w:r>
    </w:p>
    <w:p w:rsidR="00E24DBC" w:rsidRDefault="00A039D7">
      <w:pPr>
        <w:pStyle w:val="Akapitzlist"/>
        <w:numPr>
          <w:ilvl w:val="0"/>
          <w:numId w:val="18"/>
        </w:numPr>
        <w:shd w:val="clear" w:color="auto" w:fill="FFFFFF"/>
        <w:spacing w:after="0"/>
        <w:ind w:left="284"/>
        <w:contextualSpacing w:val="0"/>
        <w:jc w:val="both"/>
        <w:rPr>
          <w:rFonts w:ascii="Arial" w:eastAsia="Times New Roman" w:hAnsi="Arial" w:cs="Arial"/>
          <w:lang w:eastAsia="pl-PL"/>
        </w:rPr>
      </w:pPr>
      <w:r>
        <w:rPr>
          <w:rFonts w:ascii="Arial" w:hAnsi="Arial" w:cs="Arial"/>
        </w:rPr>
        <w:t xml:space="preserve">Kandydat na członka Rady Nadzorczej powinien wypełnić odpowiedni formularz oceny, </w:t>
      </w:r>
      <w:r>
        <w:rPr>
          <w:rFonts w:ascii="Arial" w:hAnsi="Arial" w:cs="Arial"/>
        </w:rPr>
        <w:br/>
      </w:r>
      <w:r>
        <w:rPr>
          <w:rFonts w:ascii="Arial" w:hAnsi="Arial" w:cs="Arial"/>
        </w:rPr>
        <w:t xml:space="preserve">a następnie przekazać ten formularz oceny wraz z wymaganymi dokumentami najpóźniej na tydzień przed wyznaczonym terminem Zebrania Przedstawicieli, w którego porządku obrad znajduje się punkt dotyczący zmian w składzie Rady Nadzorczej. </w:t>
      </w:r>
    </w:p>
    <w:p w:rsidR="00E24DBC" w:rsidRDefault="00A039D7">
      <w:pPr>
        <w:pStyle w:val="Akapitzlist"/>
        <w:numPr>
          <w:ilvl w:val="0"/>
          <w:numId w:val="18"/>
        </w:numPr>
        <w:shd w:val="clear" w:color="auto" w:fill="FFFFFF"/>
        <w:spacing w:after="0"/>
        <w:ind w:left="284"/>
        <w:contextualSpacing w:val="0"/>
        <w:jc w:val="both"/>
        <w:rPr>
          <w:rFonts w:ascii="Arial" w:eastAsia="Times New Roman" w:hAnsi="Arial" w:cs="Arial"/>
          <w:lang w:eastAsia="pl-PL"/>
        </w:rPr>
      </w:pPr>
      <w:r>
        <w:rPr>
          <w:rFonts w:ascii="Arial" w:eastAsia="Times New Roman" w:hAnsi="Arial" w:cs="Arial"/>
          <w:lang w:eastAsia="pl-PL"/>
        </w:rPr>
        <w:lastRenderedPageBreak/>
        <w:t xml:space="preserve">Urzędujący członek Rady Nadzorczej przekazuje wypełniony </w:t>
      </w:r>
      <w:r>
        <w:rPr>
          <w:rFonts w:ascii="Arial" w:hAnsi="Arial" w:cs="Arial"/>
        </w:rPr>
        <w:t xml:space="preserve">formularz oceny oraz inne wskazane w nim dokumenty najpóźniej na tydzień przed wyznaczonym terminem Zebrania Przedstawicieli </w:t>
      </w:r>
      <w:r>
        <w:rPr>
          <w:rFonts w:ascii="Arial" w:hAnsi="Arial" w:cs="Arial"/>
          <w:lang w:eastAsia="pl-PL"/>
        </w:rPr>
        <w:t xml:space="preserve">w celu dokonania oceny okresowej, o której mowa w § 10 ust. 2 pkt 1. </w:t>
      </w:r>
    </w:p>
    <w:p w:rsidR="00E24DBC" w:rsidRDefault="00A039D7">
      <w:pPr>
        <w:pStyle w:val="Akapitzlist"/>
        <w:numPr>
          <w:ilvl w:val="0"/>
          <w:numId w:val="18"/>
        </w:numPr>
        <w:shd w:val="clear" w:color="auto" w:fill="FFFFFF"/>
        <w:spacing w:after="0"/>
        <w:ind w:left="284"/>
        <w:contextualSpacing w:val="0"/>
        <w:jc w:val="both"/>
        <w:rPr>
          <w:rFonts w:ascii="Arial" w:eastAsia="Times New Roman" w:hAnsi="Arial" w:cs="Arial"/>
          <w:lang w:eastAsia="pl-PL"/>
        </w:rPr>
      </w:pPr>
      <w:r>
        <w:rPr>
          <w:rFonts w:ascii="Arial" w:eastAsia="Times New Roman" w:hAnsi="Arial" w:cs="Arial"/>
          <w:lang w:eastAsia="pl-PL"/>
        </w:rPr>
        <w:t xml:space="preserve">W przypadku, gdy w trakcie pełnienia funkcji przez członka Rady Nadzorczej wystąpiły okoliczności lub zaszły </w:t>
      </w:r>
      <w:r>
        <w:rPr>
          <w:rFonts w:ascii="Arial" w:hAnsi="Arial" w:cs="Arial"/>
          <w:lang w:eastAsia="pl-PL"/>
        </w:rPr>
        <w:t>zdarzenia mogące wpłynąć na wyniki przeprowadzonej wcześniej oceny odpowiedniości,</w:t>
      </w:r>
      <w:r>
        <w:rPr>
          <w:rFonts w:ascii="Arial" w:eastAsia="Times New Roman" w:hAnsi="Arial" w:cs="Arial"/>
          <w:lang w:eastAsia="pl-PL"/>
        </w:rPr>
        <w:t xml:space="preserve"> członek Rady Nadzorczej powinien również, z własnej inicjatywy, przedstawić odpowiedni </w:t>
      </w:r>
      <w:r>
        <w:rPr>
          <w:rFonts w:ascii="Arial" w:hAnsi="Arial" w:cs="Arial"/>
        </w:rPr>
        <w:t>formularz oceny oraz inne wskazane w nim dokumenty</w:t>
      </w:r>
      <w:r>
        <w:rPr>
          <w:rFonts w:ascii="Arial" w:hAnsi="Arial" w:cs="Arial"/>
          <w:lang w:eastAsia="pl-PL"/>
        </w:rPr>
        <w:t xml:space="preserve">. </w:t>
      </w:r>
      <w:r>
        <w:rPr>
          <w:rFonts w:ascii="Arial" w:hAnsi="Arial" w:cs="Arial"/>
          <w:lang w:eastAsia="pl-PL"/>
        </w:rPr>
        <w:br/>
        <w:t>W szczególności dotyczy to zdarzeń lub okoliczności generujących ryzyko utraty reputacji przez Bank na skutek utraty reputacji osobistej członka Rady Nadzorczej, objęcia przez niego dodatkowych funkcji lub podjęcia przez niego innych działań, w tym politycznych.</w:t>
      </w:r>
    </w:p>
    <w:p w:rsidR="00E24DBC" w:rsidRDefault="00A039D7">
      <w:pPr>
        <w:pStyle w:val="Akapitzlist"/>
        <w:numPr>
          <w:ilvl w:val="0"/>
          <w:numId w:val="18"/>
        </w:numPr>
        <w:shd w:val="clear" w:color="auto" w:fill="FFFFFF"/>
        <w:spacing w:after="0"/>
        <w:ind w:left="284"/>
        <w:contextualSpacing w:val="0"/>
        <w:jc w:val="both"/>
        <w:rPr>
          <w:rFonts w:ascii="Arial" w:eastAsia="Times New Roman" w:hAnsi="Arial" w:cs="Arial"/>
          <w:lang w:eastAsia="pl-PL"/>
        </w:rPr>
      </w:pPr>
      <w:r>
        <w:rPr>
          <w:rFonts w:ascii="Arial" w:eastAsia="Times New Roman" w:hAnsi="Arial" w:cs="Arial"/>
          <w:lang w:eastAsia="pl-PL"/>
        </w:rPr>
        <w:t xml:space="preserve">Członek Rady Nadzorczej zobowiązany jest również do złożenia odpowiedniego </w:t>
      </w:r>
      <w:r>
        <w:rPr>
          <w:rFonts w:ascii="Arial" w:hAnsi="Arial" w:cs="Arial"/>
        </w:rPr>
        <w:t>formularza oceny oraz innych wskazanych w nim dokumentów</w:t>
      </w:r>
      <w:r>
        <w:rPr>
          <w:rFonts w:ascii="Arial" w:eastAsia="Times New Roman" w:hAnsi="Arial" w:cs="Arial"/>
          <w:lang w:eastAsia="pl-PL"/>
        </w:rPr>
        <w:t xml:space="preserve"> na każde żądanie Przewodniczącego Rady Nadzorczej. </w:t>
      </w:r>
    </w:p>
    <w:p w:rsidR="00E24DBC" w:rsidRDefault="00A039D7">
      <w:pPr>
        <w:pStyle w:val="Akapitzlist"/>
        <w:numPr>
          <w:ilvl w:val="0"/>
          <w:numId w:val="18"/>
        </w:numPr>
        <w:shd w:val="clear" w:color="auto" w:fill="FFFFFF"/>
        <w:spacing w:after="0"/>
        <w:ind w:left="284"/>
        <w:contextualSpacing w:val="0"/>
        <w:jc w:val="both"/>
        <w:rPr>
          <w:rFonts w:ascii="Arial" w:eastAsia="Times New Roman" w:hAnsi="Arial" w:cs="Arial"/>
          <w:lang w:eastAsia="pl-PL"/>
        </w:rPr>
      </w:pPr>
      <w:r>
        <w:rPr>
          <w:rFonts w:ascii="Arial" w:eastAsia="Times New Roman" w:hAnsi="Arial" w:cs="Arial"/>
          <w:lang w:eastAsia="pl-PL"/>
        </w:rPr>
        <w:t xml:space="preserve">Przedkładając </w:t>
      </w:r>
      <w:r>
        <w:rPr>
          <w:rFonts w:ascii="Arial" w:hAnsi="Arial" w:cs="Arial"/>
        </w:rPr>
        <w:t xml:space="preserve">formularz oceny w sytuacjach, o których mowa w ust. 2-4. </w:t>
      </w:r>
      <w:r>
        <w:rPr>
          <w:rFonts w:ascii="Arial" w:eastAsia="Times New Roman" w:hAnsi="Arial" w:cs="Arial"/>
          <w:lang w:eastAsia="pl-PL"/>
        </w:rPr>
        <w:t xml:space="preserve">Członek Rady Nadzorczej powinien w szczególności wskazać zmiany, które zaszły w stosunku </w:t>
      </w:r>
      <w:r>
        <w:rPr>
          <w:rFonts w:ascii="Arial" w:eastAsia="Times New Roman" w:hAnsi="Arial" w:cs="Arial"/>
          <w:lang w:eastAsia="pl-PL"/>
        </w:rPr>
        <w:br/>
        <w:t>do informacji przekazanych przez niego na potrzeby poprzedniej oceny odpowiedniości.</w:t>
      </w:r>
    </w:p>
    <w:p w:rsidR="00E24DBC" w:rsidRDefault="00A039D7">
      <w:pPr>
        <w:pStyle w:val="Akapitzlist"/>
        <w:numPr>
          <w:ilvl w:val="0"/>
          <w:numId w:val="18"/>
        </w:numPr>
        <w:shd w:val="clear" w:color="auto" w:fill="FFFFFF"/>
        <w:spacing w:after="0"/>
        <w:ind w:left="284"/>
        <w:contextualSpacing w:val="0"/>
        <w:jc w:val="both"/>
        <w:rPr>
          <w:rFonts w:ascii="Arial" w:eastAsia="Times New Roman" w:hAnsi="Arial" w:cs="Arial"/>
          <w:lang w:eastAsia="pl-PL"/>
        </w:rPr>
      </w:pPr>
      <w:r>
        <w:rPr>
          <w:rFonts w:ascii="Arial" w:eastAsia="Times New Roman" w:hAnsi="Arial" w:cs="Arial"/>
          <w:lang w:eastAsia="pl-PL"/>
        </w:rPr>
        <w:t>W sytuacjach, o których mowa w ust. 1 – 4. Kandydat/ Członek Rady Nadzorczej przekazuje formularz oceny do Banku. Pracownik ZOK dokonuje wstępnej weryfikacji poprawności wypełnienia złożonego formularza oceny oraz kompletności złożonych oświadczeń i dokumentów. W razie potrzeby korekty lub uzupełnienia formularz zwracany jest do Kandydata/ Członka Rady Nadzorczej w celu poprawienia lub uzupełnienia.</w:t>
      </w:r>
    </w:p>
    <w:p w:rsidR="00E24DBC" w:rsidRDefault="00A039D7">
      <w:pPr>
        <w:pStyle w:val="Akapitzlist"/>
        <w:numPr>
          <w:ilvl w:val="0"/>
          <w:numId w:val="18"/>
        </w:numPr>
        <w:jc w:val="both"/>
        <w:rPr>
          <w:rFonts w:ascii="Arial" w:eastAsia="Times New Roman" w:hAnsi="Arial" w:cs="Arial"/>
          <w:lang w:eastAsia="pl-PL"/>
        </w:rPr>
      </w:pPr>
      <w:r>
        <w:rPr>
          <w:rFonts w:ascii="Arial" w:eastAsia="Times New Roman" w:hAnsi="Arial" w:cs="Arial"/>
          <w:lang w:eastAsia="pl-PL"/>
        </w:rPr>
        <w:t xml:space="preserve">Zweryfikowane formularze oceny przedkładane są Komisji ds. oceny odpowiedniości powołanej przez Zebranie </w:t>
      </w:r>
      <w:r>
        <w:rPr>
          <w:rFonts w:ascii="Arial" w:eastAsia="Times New Roman" w:hAnsi="Arial" w:cs="Arial"/>
          <w:lang w:eastAsia="pl-PL"/>
        </w:rPr>
        <w:t>Przedstawicieli.</w:t>
      </w:r>
    </w:p>
    <w:p w:rsidR="00E24DBC" w:rsidRDefault="00A039D7">
      <w:pPr>
        <w:pStyle w:val="Akapitzlist"/>
        <w:numPr>
          <w:ilvl w:val="0"/>
          <w:numId w:val="18"/>
        </w:numPr>
        <w:shd w:val="clear" w:color="auto" w:fill="FFFFFF"/>
        <w:spacing w:after="0"/>
        <w:ind w:left="284"/>
        <w:contextualSpacing w:val="0"/>
        <w:jc w:val="both"/>
        <w:rPr>
          <w:rFonts w:ascii="Arial" w:eastAsia="Times New Roman" w:hAnsi="Arial" w:cs="Arial"/>
          <w:lang w:eastAsia="pl-PL"/>
        </w:rPr>
      </w:pPr>
      <w:r>
        <w:rPr>
          <w:rFonts w:ascii="Arial" w:hAnsi="Arial" w:cs="Arial"/>
        </w:rPr>
        <w:t>Komisja ds.</w:t>
      </w:r>
      <w:r>
        <w:rPr>
          <w:rFonts w:ascii="Arial" w:eastAsia="Calibri" w:hAnsi="Arial" w:cs="Arial"/>
        </w:rPr>
        <w:t xml:space="preserve"> oceny odpowiedniości dokonuje </w:t>
      </w:r>
      <w:r>
        <w:rPr>
          <w:rFonts w:ascii="Arial" w:eastAsia="Times New Roman" w:hAnsi="Arial" w:cs="Arial"/>
          <w:lang w:eastAsia="pl-PL"/>
        </w:rPr>
        <w:t xml:space="preserve">analizy informacji zawartych </w:t>
      </w:r>
      <w:r>
        <w:rPr>
          <w:rFonts w:ascii="Arial" w:eastAsia="Times New Roman" w:hAnsi="Arial" w:cs="Arial"/>
          <w:lang w:eastAsia="pl-PL"/>
        </w:rPr>
        <w:br/>
        <w:t xml:space="preserve">w formularzu oceny i formułuje wynikające z analizy wnioski, z wykorzystaniem formularza oceny, w którym dokumentuje między innymi wynik rekomendowanej Zebraniu Przedstawicieli oceny, a także wskazanie zdarzeń istotnych, jeśli w opinii Komisji powinny one mieć wpływ na wynik oceny. Formularz oceny podpisuje Przewodniczący Komisji </w:t>
      </w:r>
      <w:r>
        <w:rPr>
          <w:rFonts w:ascii="Arial" w:eastAsia="Times New Roman" w:hAnsi="Arial" w:cs="Arial"/>
          <w:lang w:eastAsia="pl-PL"/>
        </w:rPr>
        <w:br/>
      </w:r>
      <w:r>
        <w:rPr>
          <w:rFonts w:ascii="Arial" w:hAnsi="Arial" w:cs="Arial"/>
        </w:rPr>
        <w:t>ds.</w:t>
      </w:r>
      <w:r>
        <w:rPr>
          <w:rFonts w:ascii="Arial" w:eastAsia="Calibri" w:hAnsi="Arial" w:cs="Arial"/>
        </w:rPr>
        <w:t xml:space="preserve"> oceny odpowiedniości</w:t>
      </w:r>
      <w:r>
        <w:rPr>
          <w:rFonts w:ascii="Arial" w:eastAsia="Times New Roman" w:hAnsi="Arial" w:cs="Arial"/>
          <w:lang w:eastAsia="pl-PL"/>
        </w:rPr>
        <w:t>.</w:t>
      </w:r>
    </w:p>
    <w:p w:rsidR="00E24DBC" w:rsidRDefault="00A039D7">
      <w:pPr>
        <w:pStyle w:val="Akapitzlist"/>
        <w:numPr>
          <w:ilvl w:val="0"/>
          <w:numId w:val="18"/>
        </w:numPr>
        <w:shd w:val="clear" w:color="auto" w:fill="FFFFFF"/>
        <w:spacing w:after="0"/>
        <w:ind w:left="284"/>
        <w:contextualSpacing w:val="0"/>
        <w:jc w:val="both"/>
        <w:rPr>
          <w:rFonts w:ascii="Arial" w:eastAsia="Times New Roman" w:hAnsi="Arial" w:cs="Arial"/>
          <w:lang w:eastAsia="pl-PL"/>
        </w:rPr>
      </w:pPr>
      <w:r>
        <w:rPr>
          <w:rFonts w:ascii="Arial" w:eastAsia="Times New Roman" w:hAnsi="Arial" w:cs="Arial"/>
          <w:lang w:eastAsia="pl-PL"/>
        </w:rPr>
        <w:t xml:space="preserve">Przewodniczący Komisji </w:t>
      </w:r>
      <w:r>
        <w:rPr>
          <w:rFonts w:ascii="Arial" w:hAnsi="Arial" w:cs="Arial"/>
        </w:rPr>
        <w:t>ds.</w:t>
      </w:r>
      <w:r>
        <w:rPr>
          <w:rFonts w:ascii="Arial" w:eastAsia="Calibri" w:hAnsi="Arial" w:cs="Arial"/>
        </w:rPr>
        <w:t xml:space="preserve"> oceny odpowiedniości przedstawia wnioski i rekomendację, </w:t>
      </w:r>
      <w:r>
        <w:rPr>
          <w:rFonts w:ascii="Arial" w:eastAsia="Calibri" w:hAnsi="Arial" w:cs="Arial"/>
        </w:rPr>
        <w:br/>
        <w:t>o których mowa w ust. 8, Zebraniu Przedstawicieli, które podejmuje uchwałę w sprawie oceny odpowiedniości Kandydatów/Członków Rady Nadzorczej.</w:t>
      </w:r>
    </w:p>
    <w:p w:rsidR="00E24DBC" w:rsidRDefault="00E24DBC">
      <w:pPr>
        <w:pStyle w:val="Akapitzlist"/>
        <w:shd w:val="clear" w:color="auto" w:fill="FFFFFF"/>
        <w:spacing w:after="0"/>
        <w:ind w:left="360"/>
        <w:contextualSpacing w:val="0"/>
        <w:jc w:val="both"/>
        <w:rPr>
          <w:rFonts w:ascii="Arial" w:eastAsia="Times New Roman" w:hAnsi="Arial" w:cs="Arial"/>
          <w:lang w:eastAsia="pl-PL"/>
        </w:rPr>
      </w:pPr>
    </w:p>
    <w:p w:rsidR="00E24DBC" w:rsidRDefault="00A039D7">
      <w:pPr>
        <w:pStyle w:val="Akapitzlist"/>
        <w:shd w:val="clear" w:color="auto" w:fill="FFFFFF"/>
        <w:spacing w:after="0"/>
        <w:jc w:val="center"/>
        <w:rPr>
          <w:rFonts w:ascii="Arial" w:eastAsia="Times New Roman" w:hAnsi="Arial" w:cs="Arial"/>
          <w:b/>
          <w:bCs/>
          <w:color w:val="000000"/>
          <w:lang w:eastAsia="pl-PL"/>
        </w:rPr>
      </w:pPr>
      <w:r>
        <w:rPr>
          <w:rFonts w:ascii="Arial" w:eastAsia="Times New Roman" w:hAnsi="Arial" w:cs="Arial"/>
          <w:b/>
          <w:bCs/>
          <w:color w:val="000000"/>
          <w:lang w:eastAsia="pl-PL"/>
        </w:rPr>
        <w:t xml:space="preserve">§ 12. Ocena zbiorowa Rady Nadzorczej </w:t>
      </w:r>
    </w:p>
    <w:p w:rsidR="00E24DBC" w:rsidRDefault="00A039D7">
      <w:pPr>
        <w:pStyle w:val="Akapitzlist"/>
        <w:numPr>
          <w:ilvl w:val="0"/>
          <w:numId w:val="16"/>
        </w:numPr>
        <w:spacing w:after="0"/>
        <w:ind w:left="284"/>
        <w:contextualSpacing w:val="0"/>
        <w:jc w:val="both"/>
        <w:rPr>
          <w:rFonts w:ascii="Arial" w:eastAsia="Times New Roman" w:hAnsi="Arial" w:cs="Arial"/>
          <w:bCs/>
          <w:color w:val="000000"/>
          <w:lang w:eastAsia="pl-PL"/>
        </w:rPr>
      </w:pPr>
      <w:r>
        <w:rPr>
          <w:rFonts w:ascii="Arial" w:hAnsi="Arial" w:cs="Arial"/>
          <w:lang w:eastAsia="pl-PL"/>
        </w:rPr>
        <w:t>Ocenę zbiorową Rady Nadzorczej przeprowadza się w sytuacjach wskazanych</w:t>
      </w:r>
      <w:r>
        <w:rPr>
          <w:rFonts w:ascii="Arial" w:hAnsi="Arial" w:cs="Arial"/>
          <w:lang w:eastAsia="pl-PL"/>
        </w:rPr>
        <w:br/>
        <w:t>w § 10 ust. 4.</w:t>
      </w:r>
    </w:p>
    <w:p w:rsidR="00E24DBC" w:rsidRDefault="00A039D7">
      <w:pPr>
        <w:pStyle w:val="Akapitzlist"/>
        <w:numPr>
          <w:ilvl w:val="0"/>
          <w:numId w:val="16"/>
        </w:numPr>
        <w:shd w:val="clear" w:color="auto" w:fill="FFFFFF"/>
        <w:spacing w:after="0"/>
        <w:ind w:left="284"/>
        <w:contextualSpacing w:val="0"/>
        <w:jc w:val="both"/>
        <w:rPr>
          <w:rFonts w:ascii="Arial" w:eastAsia="Times New Roman" w:hAnsi="Arial" w:cs="Arial"/>
          <w:lang w:eastAsia="pl-PL"/>
        </w:rPr>
      </w:pPr>
      <w:r>
        <w:rPr>
          <w:rFonts w:ascii="Arial" w:hAnsi="Arial" w:cs="Arial"/>
        </w:rPr>
        <w:t>Komisja ds.</w:t>
      </w:r>
      <w:r>
        <w:rPr>
          <w:rFonts w:ascii="Arial" w:eastAsia="Calibri" w:hAnsi="Arial" w:cs="Arial"/>
        </w:rPr>
        <w:t xml:space="preserve"> oceny odpowiedniości, na podstawie formularzy oceny indywidualnej, </w:t>
      </w:r>
      <w:r>
        <w:rPr>
          <w:rFonts w:ascii="Arial" w:eastAsia="Times New Roman" w:hAnsi="Arial" w:cs="Arial"/>
          <w:lang w:eastAsia="pl-PL"/>
        </w:rPr>
        <w:t xml:space="preserve">formułuje wynikające z analizy wnioski, z wykorzystaniem formularza oceny zbiorowej Rady Nadzorczej, w którym dokumentuje między innymi wynik rekomendowanej Zebraniu Przedstawicieli oceny zbiorowej. </w:t>
      </w:r>
    </w:p>
    <w:p w:rsidR="00E24DBC" w:rsidRDefault="00A039D7">
      <w:pPr>
        <w:pStyle w:val="Akapitzlist"/>
        <w:numPr>
          <w:ilvl w:val="0"/>
          <w:numId w:val="16"/>
        </w:numPr>
        <w:shd w:val="clear" w:color="auto" w:fill="FFFFFF"/>
        <w:spacing w:after="0"/>
        <w:ind w:left="284"/>
        <w:contextualSpacing w:val="0"/>
        <w:jc w:val="both"/>
        <w:rPr>
          <w:rFonts w:ascii="Arial" w:eastAsia="Times New Roman" w:hAnsi="Arial" w:cs="Arial"/>
          <w:color w:val="ED0000"/>
          <w:lang w:eastAsia="pl-PL"/>
        </w:rPr>
      </w:pPr>
      <w:r>
        <w:rPr>
          <w:rFonts w:ascii="Arial" w:eastAsia="Times New Roman" w:hAnsi="Arial" w:cs="Arial"/>
          <w:bCs/>
          <w:color w:val="000000"/>
          <w:lang w:eastAsia="pl-PL"/>
        </w:rPr>
        <w:t xml:space="preserve">Dokonując zbiorowej oceny Rady Nadzorczej, w szczególności w przypadkach o których mowa w § 10 ust. 4 pkt 1 i 4, dokonuje się oceny spełniania przez odpowiednią liczbę członków Rady Nadzorczej wymogów niezależności oraz wiedzy i umiejętności w zakresie rachunkowości lub badania sprawozdań finansowych pod kątem możliwości wyłonienia </w:t>
      </w:r>
      <w:r>
        <w:rPr>
          <w:rFonts w:ascii="Arial" w:eastAsia="Times New Roman" w:hAnsi="Arial" w:cs="Arial"/>
          <w:bCs/>
          <w:color w:val="000000"/>
          <w:lang w:eastAsia="pl-PL"/>
        </w:rPr>
        <w:br/>
        <w:t xml:space="preserve">z jej składu Komitetu Audytu. Ocenę w tym zakresie przeprowadza się z wykorzystaniem </w:t>
      </w:r>
      <w:r>
        <w:rPr>
          <w:rFonts w:ascii="Arial" w:hAnsi="Arial" w:cs="Arial"/>
          <w:lang w:eastAsia="pl-PL"/>
        </w:rPr>
        <w:t>formularza oceny zbiorowej Komitetu Audytu stanowiącego Załącznik nr 3 do niniejszej Polityki</w:t>
      </w:r>
      <w:r>
        <w:rPr>
          <w:rFonts w:ascii="Arial" w:hAnsi="Arial" w:cs="Arial"/>
          <w:color w:val="ED0000"/>
          <w:lang w:eastAsia="pl-PL"/>
        </w:rPr>
        <w:t xml:space="preserve">. </w:t>
      </w:r>
    </w:p>
    <w:p w:rsidR="00E24DBC" w:rsidRDefault="00A039D7">
      <w:pPr>
        <w:pStyle w:val="Akapitzlist"/>
        <w:numPr>
          <w:ilvl w:val="0"/>
          <w:numId w:val="16"/>
        </w:numPr>
        <w:shd w:val="clear" w:color="auto" w:fill="FFFFFF"/>
        <w:spacing w:after="0"/>
        <w:ind w:left="284"/>
        <w:contextualSpacing w:val="0"/>
        <w:jc w:val="both"/>
        <w:rPr>
          <w:rStyle w:val="FontStyle48"/>
          <w:rFonts w:ascii="Arial" w:eastAsia="Times New Roman" w:hAnsi="Arial" w:cs="Arial"/>
          <w:b w:val="0"/>
          <w:bCs w:val="0"/>
          <w:lang w:eastAsia="pl-PL"/>
        </w:rPr>
      </w:pPr>
      <w:r>
        <w:rPr>
          <w:rFonts w:ascii="Arial" w:eastAsia="Times New Roman" w:hAnsi="Arial" w:cs="Arial"/>
          <w:lang w:eastAsia="pl-PL"/>
        </w:rPr>
        <w:lastRenderedPageBreak/>
        <w:t>Przewodniczący Komisji d</w:t>
      </w:r>
      <w:r>
        <w:rPr>
          <w:rFonts w:ascii="Arial" w:hAnsi="Arial" w:cs="Arial"/>
        </w:rPr>
        <w:t>s.</w:t>
      </w:r>
      <w:r>
        <w:rPr>
          <w:rFonts w:ascii="Arial" w:eastAsia="Calibri" w:hAnsi="Arial" w:cs="Arial"/>
        </w:rPr>
        <w:t xml:space="preserve"> oceny odpowiedniości przedstawia wnioski </w:t>
      </w:r>
      <w:r>
        <w:rPr>
          <w:rFonts w:ascii="Arial" w:eastAsia="Calibri" w:hAnsi="Arial" w:cs="Arial"/>
        </w:rPr>
        <w:br/>
        <w:t>i rekomendację, o których mowa w ust. 2 Zebraniu Przedstawicieli, które podejmuje uchwałę w sprawie oceny odpowiedniości zbiorowej Rady Nadzorczej.</w:t>
      </w:r>
      <w:r>
        <w:rPr>
          <w:rStyle w:val="FontStyle48"/>
          <w:rFonts w:ascii="Arial" w:hAnsi="Arial" w:cs="Arial"/>
          <w:b w:val="0"/>
        </w:rPr>
        <w:t xml:space="preserve"> </w:t>
      </w:r>
    </w:p>
    <w:p w:rsidR="00E24DBC" w:rsidRDefault="00A039D7">
      <w:pPr>
        <w:pStyle w:val="Akapitzlist"/>
        <w:numPr>
          <w:ilvl w:val="0"/>
          <w:numId w:val="16"/>
        </w:numPr>
        <w:shd w:val="clear" w:color="auto" w:fill="FFFFFF"/>
        <w:spacing w:after="0"/>
        <w:ind w:left="284"/>
        <w:contextualSpacing w:val="0"/>
        <w:jc w:val="both"/>
        <w:rPr>
          <w:rStyle w:val="FontStyle48"/>
          <w:rFonts w:ascii="Arial" w:eastAsia="Times New Roman" w:hAnsi="Arial" w:cs="Arial"/>
          <w:b w:val="0"/>
          <w:bCs w:val="0"/>
          <w:lang w:eastAsia="pl-PL"/>
        </w:rPr>
      </w:pPr>
      <w:r>
        <w:rPr>
          <w:rStyle w:val="FontStyle48"/>
          <w:rFonts w:ascii="Arial" w:hAnsi="Arial" w:cs="Arial"/>
          <w:b w:val="0"/>
        </w:rPr>
        <w:t xml:space="preserve">W przypadku, gdy wyłoniony skład Komitetu Audytu, jest inny, niż </w:t>
      </w:r>
      <w:r>
        <w:rPr>
          <w:rFonts w:ascii="Arial" w:hAnsi="Arial" w:cs="Arial"/>
          <w:bCs/>
        </w:rPr>
        <w:t xml:space="preserve">zakładany skład przyjęty do </w:t>
      </w:r>
      <w:r>
        <w:rPr>
          <w:rStyle w:val="FontStyle48"/>
          <w:rFonts w:ascii="Arial" w:hAnsi="Arial" w:cs="Arial"/>
          <w:b w:val="0"/>
        </w:rPr>
        <w:t>oceny zbiorowej Rady Nadzorczej przeprowadzanej w związku z:</w:t>
      </w:r>
    </w:p>
    <w:p w:rsidR="00E24DBC" w:rsidRDefault="00A039D7">
      <w:pPr>
        <w:pStyle w:val="Akapitzlist"/>
        <w:numPr>
          <w:ilvl w:val="1"/>
          <w:numId w:val="1"/>
        </w:numPr>
        <w:shd w:val="clear" w:color="auto" w:fill="FFFFFF"/>
        <w:spacing w:after="0"/>
        <w:ind w:left="567"/>
        <w:contextualSpacing w:val="0"/>
        <w:jc w:val="both"/>
        <w:rPr>
          <w:rFonts w:ascii="Arial" w:eastAsia="Times New Roman" w:hAnsi="Arial" w:cs="Arial"/>
          <w:lang w:eastAsia="pl-PL"/>
        </w:rPr>
      </w:pPr>
      <w:r>
        <w:rPr>
          <w:rFonts w:ascii="Arial" w:eastAsia="Times New Roman" w:hAnsi="Arial" w:cs="Arial"/>
          <w:bCs/>
          <w:color w:val="000000"/>
        </w:rPr>
        <w:t xml:space="preserve">powołaniem </w:t>
      </w:r>
      <w:r>
        <w:rPr>
          <w:rStyle w:val="FontStyle48"/>
          <w:rFonts w:ascii="Arial" w:hAnsi="Arial" w:cs="Arial"/>
          <w:b w:val="0"/>
        </w:rPr>
        <w:t xml:space="preserve">Rady Nadzorczej </w:t>
      </w:r>
      <w:r>
        <w:rPr>
          <w:rFonts w:ascii="Arial" w:eastAsia="Times New Roman" w:hAnsi="Arial" w:cs="Arial"/>
          <w:bCs/>
          <w:color w:val="000000"/>
        </w:rPr>
        <w:t>na nową kadencję lub,</w:t>
      </w:r>
    </w:p>
    <w:p w:rsidR="00E24DBC" w:rsidRDefault="00A039D7">
      <w:pPr>
        <w:pStyle w:val="Akapitzlist"/>
        <w:numPr>
          <w:ilvl w:val="1"/>
          <w:numId w:val="1"/>
        </w:numPr>
        <w:shd w:val="clear" w:color="auto" w:fill="FFFFFF"/>
        <w:spacing w:after="0"/>
        <w:ind w:left="567"/>
        <w:contextualSpacing w:val="0"/>
        <w:jc w:val="both"/>
        <w:rPr>
          <w:rFonts w:ascii="Arial" w:eastAsia="Times New Roman" w:hAnsi="Arial" w:cs="Arial"/>
          <w:lang w:eastAsia="pl-PL"/>
        </w:rPr>
      </w:pPr>
      <w:r>
        <w:rPr>
          <w:rStyle w:val="FontStyle48"/>
          <w:rFonts w:ascii="Arial" w:hAnsi="Arial" w:cs="Arial"/>
          <w:b w:val="0"/>
        </w:rPr>
        <w:t>zmianami w składzie tego organu</w:t>
      </w:r>
      <w:r>
        <w:rPr>
          <w:rFonts w:ascii="Arial" w:eastAsia="Times New Roman" w:hAnsi="Arial" w:cs="Arial"/>
          <w:bCs/>
          <w:color w:val="000000"/>
        </w:rPr>
        <w:t xml:space="preserve">, </w:t>
      </w:r>
    </w:p>
    <w:p w:rsidR="00E24DBC" w:rsidRDefault="00A039D7">
      <w:pPr>
        <w:shd w:val="clear" w:color="auto" w:fill="FFFFFF"/>
        <w:spacing w:after="0"/>
        <w:ind w:left="284"/>
        <w:jc w:val="both"/>
        <w:rPr>
          <w:rFonts w:ascii="Arial" w:eastAsia="Times New Roman" w:hAnsi="Arial" w:cs="Arial"/>
          <w:lang w:eastAsia="pl-PL"/>
        </w:rPr>
      </w:pPr>
      <w:r>
        <w:rPr>
          <w:rFonts w:ascii="Arial" w:eastAsia="Times New Roman" w:hAnsi="Arial" w:cs="Arial"/>
          <w:bCs/>
          <w:color w:val="000000"/>
        </w:rPr>
        <w:t xml:space="preserve">Rada Nadzorcza ocenia, czy wyłoniony skład spełnia wymogi oceny zbiorowej. Ocenę przeprowadza się na posiedzeniu, na którym Rada Nadzorcza powołała nowy skład Komitetu Audytu lub dokonała zmian w składzie. W tym celu stosuje się </w:t>
      </w:r>
      <w:r>
        <w:rPr>
          <w:rFonts w:ascii="Arial" w:hAnsi="Arial" w:cs="Arial"/>
        </w:rPr>
        <w:t>formularz oceny zbiorowej Komitetu Audytu.</w:t>
      </w:r>
    </w:p>
    <w:p w:rsidR="00E24DBC" w:rsidRDefault="00E24DBC">
      <w:pPr>
        <w:pStyle w:val="Nagwek1"/>
        <w:spacing w:before="0"/>
        <w:jc w:val="center"/>
        <w:rPr>
          <w:rFonts w:ascii="Arial" w:hAnsi="Arial" w:cs="Arial"/>
          <w:color w:val="auto"/>
          <w:sz w:val="22"/>
          <w:szCs w:val="22"/>
          <w:u w:val="single"/>
          <w:lang w:eastAsia="pl-PL"/>
        </w:rPr>
      </w:pPr>
    </w:p>
    <w:p w:rsidR="00E24DBC" w:rsidRDefault="00A039D7">
      <w:pPr>
        <w:pStyle w:val="Nagwek1"/>
        <w:spacing w:before="0"/>
        <w:jc w:val="center"/>
        <w:rPr>
          <w:rFonts w:ascii="Arial" w:hAnsi="Arial" w:cs="Arial"/>
          <w:color w:val="auto"/>
          <w:sz w:val="22"/>
          <w:szCs w:val="22"/>
          <w:u w:val="single"/>
          <w:lang w:eastAsia="pl-PL"/>
        </w:rPr>
      </w:pPr>
      <w:bookmarkStart w:id="12" w:name="_Toc164253559"/>
      <w:bookmarkStart w:id="13" w:name="_Toc39843508"/>
      <w:bookmarkStart w:id="14" w:name="_Toc34735328"/>
      <w:r>
        <w:rPr>
          <w:rFonts w:ascii="Arial" w:hAnsi="Arial" w:cs="Arial"/>
          <w:color w:val="auto"/>
          <w:sz w:val="22"/>
          <w:szCs w:val="22"/>
          <w:u w:val="single"/>
          <w:lang w:eastAsia="pl-PL"/>
        </w:rPr>
        <w:t>Rozdział 4. Środki naprawcze</w:t>
      </w:r>
      <w:bookmarkEnd w:id="12"/>
      <w:bookmarkEnd w:id="13"/>
      <w:bookmarkEnd w:id="14"/>
    </w:p>
    <w:p w:rsidR="00E24DBC" w:rsidRDefault="00A039D7">
      <w:pPr>
        <w:shd w:val="clear" w:color="auto" w:fill="FFFFFF"/>
        <w:spacing w:after="0"/>
        <w:jc w:val="center"/>
        <w:rPr>
          <w:rFonts w:ascii="Arial" w:eastAsia="Times New Roman" w:hAnsi="Arial" w:cs="Arial"/>
          <w:lang w:eastAsia="pl-PL"/>
        </w:rPr>
      </w:pPr>
      <w:r>
        <w:rPr>
          <w:rFonts w:ascii="Arial" w:eastAsia="Times New Roman" w:hAnsi="Arial" w:cs="Arial"/>
          <w:b/>
          <w:bCs/>
          <w:color w:val="000000"/>
          <w:lang w:eastAsia="pl-PL"/>
        </w:rPr>
        <w:t>§ 13.</w:t>
      </w:r>
    </w:p>
    <w:p w:rsidR="00E24DBC" w:rsidRDefault="00A039D7">
      <w:pPr>
        <w:numPr>
          <w:ilvl w:val="0"/>
          <w:numId w:val="3"/>
        </w:numPr>
        <w:shd w:val="clear" w:color="auto" w:fill="FFFFFF"/>
        <w:spacing w:after="0"/>
        <w:ind w:left="286" w:hanging="356"/>
        <w:jc w:val="both"/>
        <w:rPr>
          <w:rFonts w:ascii="Arial" w:eastAsia="Times New Roman" w:hAnsi="Arial" w:cs="Arial"/>
          <w:lang w:eastAsia="pl-PL"/>
        </w:rPr>
      </w:pPr>
      <w:r>
        <w:rPr>
          <w:rFonts w:ascii="Arial" w:eastAsia="Times New Roman" w:hAnsi="Arial" w:cs="Arial"/>
          <w:lang w:eastAsia="pl-PL"/>
        </w:rPr>
        <w:t xml:space="preserve">Jeżeli oceniana osoba nie spełnia wymogów odpowiedniości innych niż wynikające </w:t>
      </w:r>
      <w:r>
        <w:rPr>
          <w:rFonts w:ascii="Arial" w:eastAsia="Times New Roman" w:hAnsi="Arial" w:cs="Arial"/>
          <w:lang w:eastAsia="pl-PL"/>
        </w:rPr>
        <w:br/>
      </w:r>
      <w:r>
        <w:rPr>
          <w:rFonts w:ascii="Arial" w:eastAsia="Times New Roman" w:hAnsi="Arial" w:cs="Arial"/>
          <w:lang w:eastAsia="pl-PL"/>
        </w:rPr>
        <w:t xml:space="preserve">z kryterium rękojmi należytego wykonywania funkcji, Bank podejmuje odpowiednie środki naprawcze, aby zapewnić osiągnięcie przez tę osobę wymogów odpowiedniości </w:t>
      </w:r>
      <w:r>
        <w:rPr>
          <w:rFonts w:ascii="Arial" w:eastAsia="Times New Roman" w:hAnsi="Arial" w:cs="Arial"/>
          <w:lang w:eastAsia="pl-PL"/>
        </w:rPr>
        <w:br/>
        <w:t xml:space="preserve">w krótkim czasie, jednak nie później niż w terminie do 12 miesięcy od powołania w skład Rady Nadzorczej. W pozostałych przypadkach osobie ocenianej nie powierza się funkcji, a jeżeli została jej już powierzona – oceniający podejmuje działania w celu zastąpienia osoby ocenianej. </w:t>
      </w:r>
    </w:p>
    <w:p w:rsidR="00E24DBC" w:rsidRDefault="00A039D7">
      <w:pPr>
        <w:numPr>
          <w:ilvl w:val="0"/>
          <w:numId w:val="3"/>
        </w:numPr>
        <w:shd w:val="clear" w:color="auto" w:fill="FFFFFF"/>
        <w:spacing w:after="0"/>
        <w:ind w:left="286" w:hanging="356"/>
        <w:jc w:val="both"/>
        <w:rPr>
          <w:rFonts w:ascii="Arial" w:eastAsiaTheme="majorEastAsia" w:hAnsi="Arial" w:cs="Arial"/>
          <w:b/>
          <w:bCs/>
          <w:u w:val="single"/>
          <w:lang w:eastAsia="pl-PL"/>
        </w:rPr>
      </w:pPr>
      <w:r>
        <w:rPr>
          <w:rFonts w:ascii="Arial" w:eastAsia="Times New Roman" w:hAnsi="Arial" w:cs="Arial"/>
          <w:lang w:eastAsia="pl-PL"/>
        </w:rPr>
        <w:t>Środki naprawcze, o których mowa w ust. 1 mogą obejmować w szczególności: szkolenia, ograniczenie ryzyka konfliktu interesów.</w:t>
      </w:r>
    </w:p>
    <w:p w:rsidR="00E24DBC" w:rsidRDefault="00E24DBC">
      <w:pPr>
        <w:pStyle w:val="Nagwek1"/>
        <w:spacing w:before="0"/>
        <w:jc w:val="center"/>
        <w:rPr>
          <w:rFonts w:ascii="Arial" w:hAnsi="Arial" w:cs="Arial"/>
          <w:color w:val="auto"/>
          <w:sz w:val="22"/>
          <w:szCs w:val="22"/>
          <w:u w:val="single"/>
          <w:lang w:eastAsia="pl-PL"/>
        </w:rPr>
      </w:pPr>
      <w:bookmarkStart w:id="15" w:name="_Toc39843510"/>
      <w:bookmarkStart w:id="16" w:name="_Toc164253560"/>
    </w:p>
    <w:p w:rsidR="00E24DBC" w:rsidRDefault="00A039D7">
      <w:pPr>
        <w:pStyle w:val="Nagwek1"/>
        <w:spacing w:before="0"/>
        <w:jc w:val="center"/>
        <w:rPr>
          <w:rFonts w:ascii="Arial" w:hAnsi="Arial" w:cs="Arial"/>
          <w:color w:val="auto"/>
          <w:sz w:val="22"/>
          <w:szCs w:val="22"/>
          <w:u w:val="single"/>
          <w:lang w:eastAsia="pl-PL"/>
        </w:rPr>
      </w:pPr>
      <w:bookmarkStart w:id="17" w:name="_Toc34735330"/>
      <w:r>
        <w:rPr>
          <w:rFonts w:ascii="Arial" w:hAnsi="Arial" w:cs="Arial"/>
          <w:color w:val="auto"/>
          <w:sz w:val="22"/>
          <w:szCs w:val="22"/>
          <w:u w:val="single"/>
          <w:lang w:eastAsia="pl-PL"/>
        </w:rPr>
        <w:t xml:space="preserve">Rozdział 5. Wprowadzenie w obowiązki i szkolenia Członków </w:t>
      </w:r>
      <w:bookmarkEnd w:id="17"/>
      <w:r>
        <w:rPr>
          <w:rFonts w:ascii="Arial" w:hAnsi="Arial" w:cs="Arial"/>
          <w:color w:val="auto"/>
          <w:sz w:val="22"/>
          <w:szCs w:val="22"/>
          <w:u w:val="single"/>
          <w:lang w:eastAsia="pl-PL"/>
        </w:rPr>
        <w:t>Rady Nadzorczej</w:t>
      </w:r>
      <w:bookmarkEnd w:id="15"/>
      <w:r>
        <w:rPr>
          <w:rFonts w:ascii="Arial" w:hAnsi="Arial" w:cs="Arial"/>
          <w:color w:val="auto"/>
          <w:sz w:val="22"/>
          <w:szCs w:val="22"/>
          <w:u w:val="single"/>
          <w:lang w:eastAsia="pl-PL"/>
        </w:rPr>
        <w:t xml:space="preserve"> </w:t>
      </w:r>
      <w:bookmarkEnd w:id="16"/>
    </w:p>
    <w:p w:rsidR="00E24DBC" w:rsidRDefault="00A039D7">
      <w:pPr>
        <w:shd w:val="clear" w:color="auto" w:fill="FFFFFF"/>
        <w:spacing w:after="0"/>
        <w:jc w:val="center"/>
        <w:rPr>
          <w:rFonts w:ascii="Arial" w:eastAsia="Times New Roman" w:hAnsi="Arial" w:cs="Arial"/>
          <w:lang w:eastAsia="pl-PL"/>
        </w:rPr>
      </w:pPr>
      <w:r>
        <w:rPr>
          <w:rFonts w:ascii="Arial" w:eastAsia="Times New Roman" w:hAnsi="Arial" w:cs="Arial"/>
          <w:b/>
          <w:bCs/>
          <w:color w:val="000000"/>
          <w:lang w:eastAsia="pl-PL"/>
        </w:rPr>
        <w:t>§ 14.</w:t>
      </w:r>
    </w:p>
    <w:p w:rsidR="00E24DBC" w:rsidRDefault="00A039D7">
      <w:pPr>
        <w:numPr>
          <w:ilvl w:val="0"/>
          <w:numId w:val="4"/>
        </w:numPr>
        <w:spacing w:after="0"/>
        <w:ind w:left="286" w:hanging="356"/>
        <w:jc w:val="both"/>
        <w:rPr>
          <w:rFonts w:ascii="Arial" w:eastAsia="Times New Roman" w:hAnsi="Arial" w:cs="Arial"/>
          <w:lang w:eastAsia="pl-PL"/>
        </w:rPr>
      </w:pPr>
      <w:r>
        <w:rPr>
          <w:rFonts w:ascii="Arial" w:eastAsia="Times New Roman" w:hAnsi="Arial" w:cs="Arial"/>
          <w:lang w:eastAsia="pl-PL"/>
        </w:rPr>
        <w:t xml:space="preserve">Bank zapewnia wprowadzenie wszystkich nowo powołanych Członków Rady Nadzorczej w obowiązki w celu ułatwienia jasnego zrozumienia przez nich struktury Banku, jego modelu biznesowego, profilu ryzyka i zasad zarządzania Bankiem, jak również roli poszczególnych Członków Rady Nadzorczej, oraz zapewnia odpowiedni ogólny i, w razie potrzeby, dostosowany indywidualnie program szkolenia. Bank zapewnia odpowiednie środki </w:t>
      </w:r>
      <w:r>
        <w:rPr>
          <w:rFonts w:ascii="Arial" w:eastAsia="Times New Roman" w:hAnsi="Arial" w:cs="Arial"/>
          <w:lang w:eastAsia="pl-PL"/>
        </w:rPr>
        <w:br/>
        <w:t>na wprowadzenie w obowiązki i szkolenie Członków Rady Nadzorczej w sposób indywidualny i zbiorowy.</w:t>
      </w:r>
    </w:p>
    <w:p w:rsidR="00E24DBC" w:rsidRDefault="00A039D7">
      <w:pPr>
        <w:numPr>
          <w:ilvl w:val="0"/>
          <w:numId w:val="4"/>
        </w:numPr>
        <w:spacing w:after="0"/>
        <w:ind w:left="286" w:hanging="356"/>
        <w:jc w:val="both"/>
        <w:rPr>
          <w:rFonts w:ascii="Arial" w:eastAsia="Times New Roman" w:hAnsi="Arial" w:cs="Arial"/>
          <w:lang w:eastAsia="pl-PL"/>
        </w:rPr>
      </w:pPr>
      <w:r>
        <w:rPr>
          <w:rFonts w:ascii="Arial" w:eastAsia="Times New Roman" w:hAnsi="Arial" w:cs="Arial"/>
          <w:lang w:eastAsia="pl-PL"/>
        </w:rPr>
        <w:t>W przypadku, gdy w odniesieniu do Członka Rady Nadzorczej zidentyfikowano potrzebę uzupełnienia zakresu wiedzy lub umiejętności, w ramach środków naprawczych Bank organizuje szkolenie w celu uzupełnienia stwierdzonych braków w odpowiednim terminie, jeśli jest to możliwe, przed faktycznym objęciem stanowiska, a w innych przypadkach - niezwłocznie po faktycznym objęciu stanowiska. W każdym przypadku Członek Rady Nadzorczej powinien spełniać wszystkie wymogi dotyczące wiedzy i umiejętności nie później niż w te</w:t>
      </w:r>
      <w:r>
        <w:rPr>
          <w:rFonts w:ascii="Arial" w:eastAsia="Times New Roman" w:hAnsi="Arial" w:cs="Arial"/>
          <w:lang w:eastAsia="pl-PL"/>
        </w:rPr>
        <w:t xml:space="preserve">rminie 1 roku od objęcia stanowiska. </w:t>
      </w:r>
    </w:p>
    <w:p w:rsidR="00E24DBC" w:rsidRDefault="00A039D7">
      <w:pPr>
        <w:numPr>
          <w:ilvl w:val="0"/>
          <w:numId w:val="4"/>
        </w:numPr>
        <w:spacing w:after="0"/>
        <w:ind w:left="286" w:hanging="356"/>
        <w:jc w:val="both"/>
        <w:rPr>
          <w:rFonts w:ascii="Arial" w:eastAsia="Times New Roman" w:hAnsi="Arial" w:cs="Arial"/>
          <w:lang w:eastAsia="pl-PL"/>
        </w:rPr>
      </w:pPr>
      <w:r>
        <w:rPr>
          <w:rFonts w:ascii="Arial" w:eastAsia="Times New Roman" w:hAnsi="Arial" w:cs="Arial"/>
          <w:lang w:eastAsia="pl-PL"/>
        </w:rPr>
        <w:t xml:space="preserve">Bank w swoich działaniach dąży do zapewnienia różnorodności przy zachowaniu adekwatności i prawidłowego działania Rady Nadzorczej. Zasady i wytyczne dotyczące zróżnicowania w składzie Rady Nadzorczej, w tym określone cele w zakresie zróżnicowania płci i wieku w organie określa „Polityka różnorodności”. </w:t>
      </w:r>
    </w:p>
    <w:p w:rsidR="00E24DBC" w:rsidRDefault="00E24DBC">
      <w:pPr>
        <w:shd w:val="clear" w:color="auto" w:fill="FFFFFF"/>
        <w:spacing w:after="0"/>
        <w:jc w:val="center"/>
        <w:rPr>
          <w:rFonts w:ascii="Arial" w:eastAsia="Times New Roman" w:hAnsi="Arial" w:cs="Arial"/>
          <w:b/>
          <w:bCs/>
          <w:color w:val="000000"/>
          <w:lang w:eastAsia="pl-PL"/>
        </w:rPr>
      </w:pPr>
    </w:p>
    <w:p w:rsidR="00E24DBC" w:rsidRDefault="00A039D7">
      <w:pPr>
        <w:shd w:val="clear" w:color="auto" w:fill="FFFFFF"/>
        <w:spacing w:after="0"/>
        <w:jc w:val="center"/>
        <w:rPr>
          <w:rFonts w:ascii="Arial" w:eastAsia="Times New Roman" w:hAnsi="Arial" w:cs="Arial"/>
          <w:b/>
          <w:bCs/>
          <w:color w:val="000000"/>
          <w:lang w:eastAsia="pl-PL"/>
        </w:rPr>
      </w:pPr>
      <w:r>
        <w:rPr>
          <w:rFonts w:ascii="Arial" w:eastAsia="Times New Roman" w:hAnsi="Arial" w:cs="Arial"/>
          <w:b/>
          <w:bCs/>
          <w:color w:val="000000"/>
          <w:lang w:eastAsia="pl-PL"/>
        </w:rPr>
        <w:t>§ 19.</w:t>
      </w:r>
    </w:p>
    <w:p w:rsidR="00E24DBC" w:rsidRDefault="00A039D7">
      <w:pPr>
        <w:shd w:val="clear" w:color="auto" w:fill="FFFFFF"/>
        <w:spacing w:after="0"/>
        <w:jc w:val="both"/>
        <w:rPr>
          <w:rFonts w:ascii="Arial" w:eastAsia="Times New Roman" w:hAnsi="Arial" w:cs="Arial"/>
          <w:lang w:eastAsia="pl-PL"/>
        </w:rPr>
      </w:pPr>
      <w:r>
        <w:rPr>
          <w:rFonts w:ascii="Arial" w:eastAsia="Times New Roman" w:hAnsi="Arial" w:cs="Arial"/>
          <w:lang w:eastAsia="pl-PL"/>
        </w:rPr>
        <w:t>Polityka podlega corocznemu przeglądowi w ramach przeglądu zarządczego, o ile wcześniej nie nastąpi zmiana przepisów lub wytycznych mających wpływ na treść Polityki.</w:t>
      </w:r>
    </w:p>
    <w:p w:rsidR="00E24DBC" w:rsidRDefault="00E24DBC">
      <w:pPr>
        <w:shd w:val="clear" w:color="auto" w:fill="FFFFFF"/>
        <w:spacing w:after="0"/>
        <w:jc w:val="center"/>
        <w:rPr>
          <w:rFonts w:ascii="Arial" w:eastAsia="Times New Roman" w:hAnsi="Arial" w:cs="Arial"/>
          <w:lang w:eastAsia="pl-PL"/>
        </w:rPr>
      </w:pPr>
    </w:p>
    <w:sectPr w:rsidR="00E24DBC">
      <w:footerReference w:type="default" r:id="rId8"/>
      <w:pgSz w:w="11906" w:h="16838"/>
      <w:pgMar w:top="1134" w:right="1418" w:bottom="1134" w:left="1418" w:header="0"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039D7" w:rsidRDefault="00A039D7">
      <w:pPr>
        <w:spacing w:after="0" w:line="240" w:lineRule="auto"/>
      </w:pPr>
      <w:r>
        <w:separator/>
      </w:r>
    </w:p>
  </w:endnote>
  <w:endnote w:type="continuationSeparator" w:id="0">
    <w:p w:rsidR="00A039D7" w:rsidRDefault="00A039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roman"/>
    <w:pitch w:val="variable"/>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2089775"/>
      <w:docPartObj>
        <w:docPartGallery w:val="Page Numbers (Bottom of Page)"/>
        <w:docPartUnique/>
      </w:docPartObj>
    </w:sdtPr>
    <w:sdtEndPr/>
    <w:sdtContent>
      <w:p w:rsidR="00E24DBC" w:rsidRDefault="00A039D7">
        <w:pPr>
          <w:pStyle w:val="Stopka"/>
          <w:jc w:val="right"/>
          <w:rPr>
            <w:rFonts w:ascii="Times New Roman" w:hAnsi="Times New Roman" w:cs="Times New Roman"/>
            <w:sz w:val="20"/>
          </w:rPr>
        </w:pPr>
        <w:r>
          <w:fldChar w:fldCharType="begin"/>
        </w:r>
        <w:r>
          <w:instrText xml:space="preserve"> PAGE </w:instrText>
        </w:r>
        <w:r>
          <w:fldChar w:fldCharType="separate"/>
        </w:r>
        <w:r>
          <w:t>9</w:t>
        </w:r>
        <w:r>
          <w:fldChar w:fldCharType="end"/>
        </w:r>
      </w:p>
    </w:sdtContent>
  </w:sdt>
  <w:p w:rsidR="00E24DBC" w:rsidRDefault="00E24D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039D7" w:rsidRDefault="00A039D7">
      <w:pPr>
        <w:spacing w:after="0" w:line="240" w:lineRule="auto"/>
      </w:pPr>
      <w:r>
        <w:separator/>
      </w:r>
    </w:p>
  </w:footnote>
  <w:footnote w:type="continuationSeparator" w:id="0">
    <w:p w:rsidR="00A039D7" w:rsidRDefault="00A039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76FD"/>
    <w:multiLevelType w:val="multilevel"/>
    <w:tmpl w:val="18E43134"/>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59A237C"/>
    <w:multiLevelType w:val="multilevel"/>
    <w:tmpl w:val="2C24BA3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14437B49"/>
    <w:multiLevelType w:val="multilevel"/>
    <w:tmpl w:val="E814C984"/>
    <w:lvl w:ilvl="0">
      <w:start w:val="4"/>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20D94E62"/>
    <w:multiLevelType w:val="multilevel"/>
    <w:tmpl w:val="85300A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7EC31F8"/>
    <w:multiLevelType w:val="multilevel"/>
    <w:tmpl w:val="7E1A4B4A"/>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8EF0273"/>
    <w:multiLevelType w:val="multilevel"/>
    <w:tmpl w:val="6CDA68B0"/>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15:restartNumberingAfterBreak="0">
    <w:nsid w:val="36355473"/>
    <w:multiLevelType w:val="multilevel"/>
    <w:tmpl w:val="2C3C6DCC"/>
    <w:lvl w:ilvl="0">
      <w:start w:val="1"/>
      <w:numFmt w:val="decimal"/>
      <w:pStyle w:val="Indeks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38EF6461"/>
    <w:multiLevelType w:val="multilevel"/>
    <w:tmpl w:val="6BC02E16"/>
    <w:lvl w:ilvl="0">
      <w:start w:val="3"/>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3A9F3871"/>
    <w:multiLevelType w:val="multilevel"/>
    <w:tmpl w:val="2EBC60AA"/>
    <w:lvl w:ilvl="0">
      <w:start w:val="1"/>
      <w:numFmt w:val="decimal"/>
      <w:lvlText w:val="%1."/>
      <w:lvlJc w:val="left"/>
      <w:pPr>
        <w:tabs>
          <w:tab w:val="num" w:pos="0"/>
        </w:tabs>
        <w:ind w:left="644"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32F236D"/>
    <w:multiLevelType w:val="multilevel"/>
    <w:tmpl w:val="8BBAE0F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0" w15:restartNumberingAfterBreak="0">
    <w:nsid w:val="48BE5411"/>
    <w:multiLevelType w:val="multilevel"/>
    <w:tmpl w:val="A40AADC8"/>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1" w15:restartNumberingAfterBreak="0">
    <w:nsid w:val="56315C0B"/>
    <w:multiLevelType w:val="multilevel"/>
    <w:tmpl w:val="C5C80B54"/>
    <w:lvl w:ilvl="0">
      <w:start w:val="1"/>
      <w:numFmt w:val="decimal"/>
      <w:lvlText w:val="%1."/>
      <w:lvlJc w:val="left"/>
      <w:pPr>
        <w:tabs>
          <w:tab w:val="num" w:pos="0"/>
        </w:tabs>
        <w:ind w:left="360" w:hanging="360"/>
      </w:pPr>
      <w:rPr>
        <w:rFonts w:ascii="Arial" w:hAnsi="Arial" w:cs="Arial"/>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602F4274"/>
    <w:multiLevelType w:val="multilevel"/>
    <w:tmpl w:val="23B6646E"/>
    <w:lvl w:ilvl="0">
      <w:start w:val="1"/>
      <w:numFmt w:val="decimal"/>
      <w:lvlText w:val="%1."/>
      <w:lvlJc w:val="left"/>
      <w:pPr>
        <w:tabs>
          <w:tab w:val="num" w:pos="0"/>
        </w:tabs>
        <w:ind w:left="360" w:hanging="360"/>
      </w:pPr>
      <w:rPr>
        <w:rFonts w:cs="Times New Roman"/>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697C0E22"/>
    <w:multiLevelType w:val="multilevel"/>
    <w:tmpl w:val="AC5A87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B6842F1"/>
    <w:multiLevelType w:val="multilevel"/>
    <w:tmpl w:val="D49878F0"/>
    <w:lvl w:ilvl="0">
      <w:start w:val="1"/>
      <w:numFmt w:val="decimal"/>
      <w:lvlText w:val="%1."/>
      <w:lvlJc w:val="left"/>
      <w:pPr>
        <w:tabs>
          <w:tab w:val="num" w:pos="0"/>
        </w:tabs>
        <w:ind w:left="644" w:hanging="360"/>
      </w:pPr>
      <w:rPr>
        <w:b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6155DB4"/>
    <w:multiLevelType w:val="multilevel"/>
    <w:tmpl w:val="2BBE6094"/>
    <w:lvl w:ilvl="0">
      <w:start w:val="5"/>
      <w:numFmt w:val="decimal"/>
      <w:lvlText w:val="%1."/>
      <w:lvlJc w:val="left"/>
      <w:pPr>
        <w:tabs>
          <w:tab w:val="num" w:pos="0"/>
        </w:tabs>
        <w:ind w:left="360" w:hanging="360"/>
      </w:pPr>
    </w:lvl>
    <w:lvl w:ilvl="1">
      <w:start w:val="1"/>
      <w:numFmt w:val="lowerLetter"/>
      <w:lvlText w:val="%2."/>
      <w:lvlJc w:val="left"/>
      <w:pPr>
        <w:tabs>
          <w:tab w:val="num" w:pos="0"/>
        </w:tabs>
        <w:ind w:left="1156" w:hanging="360"/>
      </w:pPr>
    </w:lvl>
    <w:lvl w:ilvl="2">
      <w:start w:val="1"/>
      <w:numFmt w:val="lowerRoman"/>
      <w:lvlText w:val="%3."/>
      <w:lvlJc w:val="right"/>
      <w:pPr>
        <w:tabs>
          <w:tab w:val="num" w:pos="0"/>
        </w:tabs>
        <w:ind w:left="1876" w:hanging="180"/>
      </w:pPr>
    </w:lvl>
    <w:lvl w:ilvl="3">
      <w:start w:val="1"/>
      <w:numFmt w:val="decimal"/>
      <w:lvlText w:val="%4."/>
      <w:lvlJc w:val="left"/>
      <w:pPr>
        <w:tabs>
          <w:tab w:val="num" w:pos="0"/>
        </w:tabs>
        <w:ind w:left="2596" w:hanging="360"/>
      </w:pPr>
    </w:lvl>
    <w:lvl w:ilvl="4">
      <w:start w:val="1"/>
      <w:numFmt w:val="lowerLetter"/>
      <w:lvlText w:val="%5."/>
      <w:lvlJc w:val="left"/>
      <w:pPr>
        <w:tabs>
          <w:tab w:val="num" w:pos="0"/>
        </w:tabs>
        <w:ind w:left="3316" w:hanging="360"/>
      </w:pPr>
    </w:lvl>
    <w:lvl w:ilvl="5">
      <w:start w:val="1"/>
      <w:numFmt w:val="lowerRoman"/>
      <w:lvlText w:val="%6."/>
      <w:lvlJc w:val="right"/>
      <w:pPr>
        <w:tabs>
          <w:tab w:val="num" w:pos="0"/>
        </w:tabs>
        <w:ind w:left="4036" w:hanging="180"/>
      </w:pPr>
    </w:lvl>
    <w:lvl w:ilvl="6">
      <w:start w:val="1"/>
      <w:numFmt w:val="decimal"/>
      <w:lvlText w:val="%7."/>
      <w:lvlJc w:val="left"/>
      <w:pPr>
        <w:tabs>
          <w:tab w:val="num" w:pos="0"/>
        </w:tabs>
        <w:ind w:left="4756" w:hanging="360"/>
      </w:pPr>
    </w:lvl>
    <w:lvl w:ilvl="7">
      <w:start w:val="1"/>
      <w:numFmt w:val="lowerLetter"/>
      <w:lvlText w:val="%8."/>
      <w:lvlJc w:val="left"/>
      <w:pPr>
        <w:tabs>
          <w:tab w:val="num" w:pos="0"/>
        </w:tabs>
        <w:ind w:left="5476" w:hanging="360"/>
      </w:pPr>
    </w:lvl>
    <w:lvl w:ilvl="8">
      <w:start w:val="1"/>
      <w:numFmt w:val="lowerRoman"/>
      <w:lvlText w:val="%9."/>
      <w:lvlJc w:val="right"/>
      <w:pPr>
        <w:tabs>
          <w:tab w:val="num" w:pos="0"/>
        </w:tabs>
        <w:ind w:left="6196" w:hanging="180"/>
      </w:pPr>
    </w:lvl>
  </w:abstractNum>
  <w:abstractNum w:abstractNumId="16" w15:restartNumberingAfterBreak="0">
    <w:nsid w:val="792731A0"/>
    <w:multiLevelType w:val="multilevel"/>
    <w:tmpl w:val="E83A911E"/>
    <w:lvl w:ilvl="0">
      <w:start w:val="1"/>
      <w:numFmt w:val="decimal"/>
      <w:lvlText w:val="%1."/>
      <w:lvlJc w:val="left"/>
      <w:pPr>
        <w:tabs>
          <w:tab w:val="num" w:pos="0"/>
        </w:tabs>
        <w:ind w:left="644" w:hanging="360"/>
      </w:pPr>
    </w:lvl>
    <w:lvl w:ilvl="1">
      <w:start w:val="1"/>
      <w:numFmt w:val="decimal"/>
      <w:lvlText w:val="%2)"/>
      <w:lvlJc w:val="left"/>
      <w:pPr>
        <w:tabs>
          <w:tab w:val="num" w:pos="0"/>
        </w:tabs>
        <w:ind w:left="644"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7B3C0FD7"/>
    <w:multiLevelType w:val="multilevel"/>
    <w:tmpl w:val="A0C426C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7DF20356"/>
    <w:multiLevelType w:val="multilevel"/>
    <w:tmpl w:val="5750175C"/>
    <w:lvl w:ilvl="0">
      <w:start w:val="1"/>
      <w:numFmt w:val="decimal"/>
      <w:lvlText w:val="%1."/>
      <w:lvlJc w:val="left"/>
      <w:pPr>
        <w:tabs>
          <w:tab w:val="num" w:pos="0"/>
        </w:tabs>
        <w:ind w:left="433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93966807">
    <w:abstractNumId w:val="18"/>
  </w:num>
  <w:num w:numId="2" w16cid:durableId="1336222649">
    <w:abstractNumId w:val="16"/>
  </w:num>
  <w:num w:numId="3" w16cid:durableId="1570773731">
    <w:abstractNumId w:val="14"/>
  </w:num>
  <w:num w:numId="4" w16cid:durableId="244263328">
    <w:abstractNumId w:val="8"/>
  </w:num>
  <w:num w:numId="5" w16cid:durableId="1095328217">
    <w:abstractNumId w:val="6"/>
  </w:num>
  <w:num w:numId="6" w16cid:durableId="1747998648">
    <w:abstractNumId w:val="4"/>
  </w:num>
  <w:num w:numId="7" w16cid:durableId="191305513">
    <w:abstractNumId w:val="11"/>
  </w:num>
  <w:num w:numId="8" w16cid:durableId="186791594">
    <w:abstractNumId w:val="13"/>
  </w:num>
  <w:num w:numId="9" w16cid:durableId="712972268">
    <w:abstractNumId w:val="1"/>
  </w:num>
  <w:num w:numId="10" w16cid:durableId="979918380">
    <w:abstractNumId w:val="3"/>
  </w:num>
  <w:num w:numId="11" w16cid:durableId="1097359877">
    <w:abstractNumId w:val="9"/>
  </w:num>
  <w:num w:numId="12" w16cid:durableId="571282524">
    <w:abstractNumId w:val="7"/>
  </w:num>
  <w:num w:numId="13" w16cid:durableId="344357873">
    <w:abstractNumId w:val="10"/>
  </w:num>
  <w:num w:numId="14" w16cid:durableId="834805117">
    <w:abstractNumId w:val="2"/>
  </w:num>
  <w:num w:numId="15" w16cid:durableId="438792942">
    <w:abstractNumId w:val="15"/>
  </w:num>
  <w:num w:numId="16" w16cid:durableId="1401059563">
    <w:abstractNumId w:val="12"/>
  </w:num>
  <w:num w:numId="17" w16cid:durableId="1254045978">
    <w:abstractNumId w:val="5"/>
  </w:num>
  <w:num w:numId="18" w16cid:durableId="1047219134">
    <w:abstractNumId w:val="0"/>
  </w:num>
  <w:num w:numId="19" w16cid:durableId="163926149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DBC"/>
    <w:rsid w:val="004F70E4"/>
    <w:rsid w:val="00A039D7"/>
    <w:rsid w:val="00E24DB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191BE0"/>
  <w15:docId w15:val="{6686DF3C-769D-4788-85B2-80E6E5D4E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paragraph" w:styleId="Nagwek1">
    <w:name w:val="heading 1"/>
    <w:basedOn w:val="Normalny"/>
    <w:next w:val="Normalny"/>
    <w:link w:val="Nagwek1Znak"/>
    <w:uiPriority w:val="9"/>
    <w:qFormat/>
    <w:rsid w:val="00D35B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D7539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4C1CA8"/>
  </w:style>
  <w:style w:type="character" w:customStyle="1" w:styleId="TekstprzypisudolnegoZnak">
    <w:name w:val="Tekst przypisu dolnego Znak"/>
    <w:basedOn w:val="Domylnaczcionkaakapitu"/>
    <w:link w:val="Tekstprzypisudolnego"/>
    <w:uiPriority w:val="99"/>
    <w:qFormat/>
    <w:rsid w:val="004C1CA8"/>
    <w:rPr>
      <w:sz w:val="20"/>
      <w:szCs w:val="20"/>
    </w:rPr>
  </w:style>
  <w:style w:type="character" w:customStyle="1" w:styleId="Znakiprzypiswdolnych">
    <w:name w:val="Znaki przypisów dolnych"/>
    <w:basedOn w:val="Domylnaczcionkaakapitu"/>
    <w:uiPriority w:val="99"/>
    <w:semiHidden/>
    <w:unhideWhenUsed/>
    <w:qFormat/>
    <w:rsid w:val="004C1CA8"/>
    <w:rPr>
      <w:vertAlign w:val="superscript"/>
    </w:rPr>
  </w:style>
  <w:style w:type="character" w:styleId="Odwoanieprzypisudolnego">
    <w:name w:val="footnote reference"/>
    <w:rPr>
      <w:vertAlign w:val="superscript"/>
    </w:rPr>
  </w:style>
  <w:style w:type="character" w:customStyle="1" w:styleId="TekstdymkaZnak">
    <w:name w:val="Tekst dymka Znak"/>
    <w:basedOn w:val="Domylnaczcionkaakapitu"/>
    <w:link w:val="Tekstdymka"/>
    <w:uiPriority w:val="99"/>
    <w:semiHidden/>
    <w:qFormat/>
    <w:rsid w:val="004C1CA8"/>
    <w:rPr>
      <w:rFonts w:ascii="Tahoma" w:hAnsi="Tahoma" w:cs="Tahoma"/>
      <w:sz w:val="16"/>
      <w:szCs w:val="16"/>
    </w:rPr>
  </w:style>
  <w:style w:type="character" w:customStyle="1" w:styleId="NagwekZnak">
    <w:name w:val="Nagłówek Znak"/>
    <w:basedOn w:val="Domylnaczcionkaakapitu"/>
    <w:link w:val="Nagwek"/>
    <w:uiPriority w:val="99"/>
    <w:qFormat/>
    <w:rsid w:val="001D416A"/>
  </w:style>
  <w:style w:type="character" w:customStyle="1" w:styleId="FontStyle48">
    <w:name w:val="Font Style48"/>
    <w:uiPriority w:val="99"/>
    <w:qFormat/>
    <w:rsid w:val="001D416A"/>
    <w:rPr>
      <w:rFonts w:ascii="Times New Roman" w:hAnsi="Times New Roman" w:cs="Times New Roman"/>
      <w:b/>
      <w:bCs/>
      <w:sz w:val="22"/>
      <w:szCs w:val="22"/>
    </w:rPr>
  </w:style>
  <w:style w:type="character" w:customStyle="1" w:styleId="Headerorfooter95ptNotBold">
    <w:name w:val="Header or footer + 9;5 pt;Not Bold"/>
    <w:basedOn w:val="Domylnaczcionkaakapitu"/>
    <w:qFormat/>
    <w:rsid w:val="006A5D95"/>
    <w:rPr>
      <w:rFonts w:ascii="Times New Roman" w:eastAsia="Times New Roman" w:hAnsi="Times New Roman" w:cs="Times New Roman"/>
      <w:b/>
      <w:bCs/>
      <w:i w:val="0"/>
      <w:iCs w:val="0"/>
      <w:caps w:val="0"/>
      <w:smallCaps w:val="0"/>
      <w:strike w:val="0"/>
      <w:dstrike w:val="0"/>
      <w:color w:val="000000"/>
      <w:spacing w:val="0"/>
      <w:w w:val="100"/>
      <w:sz w:val="19"/>
      <w:szCs w:val="19"/>
      <w:u w:val="none"/>
      <w:lang w:val="pl-PL" w:eastAsia="pl-PL" w:bidi="pl-PL"/>
    </w:rPr>
  </w:style>
  <w:style w:type="character" w:customStyle="1" w:styleId="Bodytext">
    <w:name w:val="Body text_"/>
    <w:basedOn w:val="Domylnaczcionkaakapitu"/>
    <w:link w:val="Tekstpodstawowy1"/>
    <w:qFormat/>
    <w:rsid w:val="006A5D95"/>
    <w:rPr>
      <w:rFonts w:ascii="Times New Roman" w:eastAsia="Times New Roman" w:hAnsi="Times New Roman" w:cs="Times New Roman"/>
      <w:shd w:val="clear" w:color="auto" w:fill="FFFFFF"/>
    </w:rPr>
  </w:style>
  <w:style w:type="character" w:customStyle="1" w:styleId="Headerorfooter">
    <w:name w:val="Header or footer"/>
    <w:basedOn w:val="Domylnaczcionkaakapitu"/>
    <w:qFormat/>
    <w:rsid w:val="006A5D95"/>
    <w:rPr>
      <w:rFonts w:ascii="Times New Roman" w:eastAsia="Times New Roman" w:hAnsi="Times New Roman" w:cs="Times New Roman"/>
      <w:b/>
      <w:bCs/>
      <w:i w:val="0"/>
      <w:iCs w:val="0"/>
      <w:caps w:val="0"/>
      <w:smallCaps w:val="0"/>
      <w:strike w:val="0"/>
      <w:dstrike w:val="0"/>
      <w:color w:val="000000"/>
      <w:spacing w:val="0"/>
      <w:w w:val="100"/>
      <w:sz w:val="22"/>
      <w:szCs w:val="22"/>
      <w:u w:val="none"/>
      <w:lang w:val="pl-PL" w:eastAsia="pl-PL" w:bidi="pl-PL"/>
    </w:rPr>
  </w:style>
  <w:style w:type="character" w:styleId="Odwoaniedokomentarza">
    <w:name w:val="annotation reference"/>
    <w:basedOn w:val="Domylnaczcionkaakapitu"/>
    <w:uiPriority w:val="99"/>
    <w:semiHidden/>
    <w:unhideWhenUsed/>
    <w:qFormat/>
    <w:rsid w:val="00593D17"/>
    <w:rPr>
      <w:sz w:val="16"/>
      <w:szCs w:val="16"/>
    </w:rPr>
  </w:style>
  <w:style w:type="character" w:customStyle="1" w:styleId="TekstkomentarzaZnak">
    <w:name w:val="Tekst komentarza Znak"/>
    <w:basedOn w:val="Domylnaczcionkaakapitu"/>
    <w:link w:val="Tekstkomentarza"/>
    <w:uiPriority w:val="99"/>
    <w:qFormat/>
    <w:rsid w:val="00593D17"/>
    <w:rPr>
      <w:sz w:val="20"/>
      <w:szCs w:val="20"/>
    </w:rPr>
  </w:style>
  <w:style w:type="character" w:customStyle="1" w:styleId="TematkomentarzaZnak">
    <w:name w:val="Temat komentarza Znak"/>
    <w:basedOn w:val="TekstkomentarzaZnak"/>
    <w:link w:val="Tematkomentarza"/>
    <w:uiPriority w:val="99"/>
    <w:semiHidden/>
    <w:qFormat/>
    <w:rsid w:val="00593D17"/>
    <w:rPr>
      <w:b/>
      <w:bCs/>
      <w:sz w:val="20"/>
      <w:szCs w:val="20"/>
    </w:rPr>
  </w:style>
  <w:style w:type="character" w:customStyle="1" w:styleId="Nagwek1Znak">
    <w:name w:val="Nagłówek 1 Znak"/>
    <w:basedOn w:val="Domylnaczcionkaakapitu"/>
    <w:link w:val="Nagwek1"/>
    <w:uiPriority w:val="9"/>
    <w:qFormat/>
    <w:rsid w:val="00D35B77"/>
    <w:rPr>
      <w:rFonts w:asciiTheme="majorHAnsi" w:eastAsiaTheme="majorEastAsia" w:hAnsiTheme="majorHAnsi" w:cstheme="majorBidi"/>
      <w:b/>
      <w:bCs/>
      <w:color w:val="365F91" w:themeColor="accent1" w:themeShade="BF"/>
      <w:sz w:val="28"/>
      <w:szCs w:val="28"/>
    </w:rPr>
  </w:style>
  <w:style w:type="character" w:customStyle="1" w:styleId="TekstprzypisukocowegoZnak">
    <w:name w:val="Tekst przypisu końcowego Znak"/>
    <w:basedOn w:val="Domylnaczcionkaakapitu"/>
    <w:link w:val="Tekstprzypisukocowego"/>
    <w:uiPriority w:val="99"/>
    <w:semiHidden/>
    <w:qFormat/>
    <w:rsid w:val="000C63B2"/>
    <w:rPr>
      <w:sz w:val="20"/>
      <w:szCs w:val="20"/>
    </w:rPr>
  </w:style>
  <w:style w:type="character" w:customStyle="1" w:styleId="Znakiprzypiswkocowych">
    <w:name w:val="Znaki przypisów końcowych"/>
    <w:basedOn w:val="Domylnaczcionkaakapitu"/>
    <w:uiPriority w:val="99"/>
    <w:semiHidden/>
    <w:unhideWhenUsed/>
    <w:qFormat/>
    <w:rsid w:val="000C63B2"/>
    <w:rPr>
      <w:vertAlign w:val="superscript"/>
    </w:rPr>
  </w:style>
  <w:style w:type="character" w:styleId="Odwoanieprzypisukocowego">
    <w:name w:val="endnote reference"/>
    <w:rPr>
      <w:vertAlign w:val="superscript"/>
    </w:rPr>
  </w:style>
  <w:style w:type="character" w:customStyle="1" w:styleId="TekstpodstawowyZnak">
    <w:name w:val="Tekst podstawowy Znak"/>
    <w:basedOn w:val="Domylnaczcionkaakapitu"/>
    <w:link w:val="Tekstpodstawowy"/>
    <w:qFormat/>
    <w:rsid w:val="00C27B72"/>
    <w:rPr>
      <w:rFonts w:ascii="Arial" w:eastAsia="Times New Roman" w:hAnsi="Arial" w:cs="Times New Roman"/>
      <w:sz w:val="24"/>
      <w:szCs w:val="20"/>
      <w:lang w:eastAsia="pl-PL"/>
    </w:rPr>
  </w:style>
  <w:style w:type="character" w:styleId="Hipercze">
    <w:name w:val="Hyperlink"/>
    <w:basedOn w:val="Domylnaczcionkaakapitu"/>
    <w:uiPriority w:val="99"/>
    <w:unhideWhenUsed/>
    <w:rsid w:val="00C27B72"/>
    <w:rPr>
      <w:color w:val="0000FF" w:themeColor="hyperlink"/>
      <w:u w:val="single"/>
    </w:rPr>
  </w:style>
  <w:style w:type="character" w:customStyle="1" w:styleId="Nagwek2Znak">
    <w:name w:val="Nagłówek 2 Znak"/>
    <w:basedOn w:val="Domylnaczcionkaakapitu"/>
    <w:link w:val="Nagwek2"/>
    <w:uiPriority w:val="9"/>
    <w:qFormat/>
    <w:rsid w:val="00D7539B"/>
    <w:rPr>
      <w:rFonts w:asciiTheme="majorHAnsi" w:eastAsiaTheme="majorEastAsia" w:hAnsiTheme="majorHAnsi" w:cstheme="majorBidi"/>
      <w:color w:val="365F91" w:themeColor="accent1" w:themeShade="BF"/>
      <w:sz w:val="26"/>
      <w:szCs w:val="26"/>
    </w:rPr>
  </w:style>
  <w:style w:type="character" w:styleId="Nierozpoznanawzmianka">
    <w:name w:val="Unresolved Mention"/>
    <w:basedOn w:val="Domylnaczcionkaakapitu"/>
    <w:uiPriority w:val="99"/>
    <w:semiHidden/>
    <w:unhideWhenUsed/>
    <w:qFormat/>
    <w:rsid w:val="00007E24"/>
    <w:rPr>
      <w:color w:val="605E5C"/>
      <w:shd w:val="clear" w:color="auto" w:fill="E1DFDD"/>
    </w:rPr>
  </w:style>
  <w:style w:type="character" w:customStyle="1" w:styleId="czeindeksu">
    <w:name w:val="Łącze indeksu"/>
    <w:qFormat/>
  </w:style>
  <w:style w:type="paragraph" w:styleId="Nagwek">
    <w:name w:val="header"/>
    <w:basedOn w:val="Normalny"/>
    <w:next w:val="Tekstpodstawowy"/>
    <w:link w:val="NagwekZnak"/>
    <w:uiPriority w:val="99"/>
    <w:unhideWhenUsed/>
    <w:rsid w:val="001D416A"/>
    <w:pPr>
      <w:tabs>
        <w:tab w:val="center" w:pos="4536"/>
        <w:tab w:val="right" w:pos="9072"/>
      </w:tabs>
      <w:spacing w:after="0" w:line="240" w:lineRule="auto"/>
    </w:pPr>
  </w:style>
  <w:style w:type="paragraph" w:styleId="Tekstpodstawowy">
    <w:name w:val="Body Text"/>
    <w:basedOn w:val="Normalny"/>
    <w:link w:val="TekstpodstawowyZnak"/>
    <w:rsid w:val="00C27B72"/>
    <w:pPr>
      <w:spacing w:after="0" w:line="240" w:lineRule="auto"/>
      <w:jc w:val="both"/>
    </w:pPr>
    <w:rPr>
      <w:rFonts w:ascii="Arial" w:eastAsia="Times New Roman" w:hAnsi="Arial" w:cs="Times New Roman"/>
      <w:sz w:val="24"/>
      <w:szCs w:val="20"/>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4C1CA8"/>
    <w:pPr>
      <w:tabs>
        <w:tab w:val="center" w:pos="4536"/>
        <w:tab w:val="right" w:pos="9072"/>
      </w:tabs>
      <w:spacing w:after="0" w:line="240" w:lineRule="auto"/>
    </w:pPr>
  </w:style>
  <w:style w:type="paragraph" w:styleId="Tekstprzypisudolnego">
    <w:name w:val="footnote text"/>
    <w:basedOn w:val="Normalny"/>
    <w:link w:val="TekstprzypisudolnegoZnak"/>
    <w:uiPriority w:val="99"/>
    <w:unhideWhenUsed/>
    <w:rsid w:val="004C1CA8"/>
    <w:pPr>
      <w:spacing w:after="0" w:line="240" w:lineRule="auto"/>
    </w:pPr>
    <w:rPr>
      <w:sz w:val="20"/>
      <w:szCs w:val="20"/>
    </w:rPr>
  </w:style>
  <w:style w:type="paragraph" w:styleId="Tekstdymka">
    <w:name w:val="Balloon Text"/>
    <w:basedOn w:val="Normalny"/>
    <w:link w:val="TekstdymkaZnak"/>
    <w:uiPriority w:val="99"/>
    <w:semiHidden/>
    <w:unhideWhenUsed/>
    <w:qFormat/>
    <w:rsid w:val="004C1CA8"/>
    <w:pPr>
      <w:spacing w:after="0" w:line="240" w:lineRule="auto"/>
    </w:pPr>
    <w:rPr>
      <w:rFonts w:ascii="Tahoma" w:hAnsi="Tahoma" w:cs="Tahoma"/>
      <w:sz w:val="16"/>
      <w:szCs w:val="16"/>
    </w:rPr>
  </w:style>
  <w:style w:type="paragraph" w:customStyle="1" w:styleId="Tekstpodstawowy1">
    <w:name w:val="Tekst podstawowy1"/>
    <w:basedOn w:val="Normalny"/>
    <w:link w:val="Bodytext"/>
    <w:qFormat/>
    <w:rsid w:val="006A5D95"/>
    <w:pPr>
      <w:widowControl w:val="0"/>
      <w:shd w:val="clear" w:color="auto" w:fill="FFFFFF"/>
      <w:spacing w:after="600" w:line="0" w:lineRule="atLeast"/>
      <w:ind w:hanging="560"/>
      <w:jc w:val="center"/>
    </w:pPr>
    <w:rPr>
      <w:rFonts w:ascii="Times New Roman" w:eastAsia="Times New Roman" w:hAnsi="Times New Roman" w:cs="Times New Roman"/>
    </w:rPr>
  </w:style>
  <w:style w:type="paragraph" w:styleId="Tekstkomentarza">
    <w:name w:val="annotation text"/>
    <w:basedOn w:val="Normalny"/>
    <w:link w:val="TekstkomentarzaZnak"/>
    <w:uiPriority w:val="99"/>
    <w:unhideWhenUsed/>
    <w:qFormat/>
    <w:rsid w:val="00593D1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593D17"/>
    <w:rPr>
      <w:b/>
      <w:bCs/>
    </w:rPr>
  </w:style>
  <w:style w:type="paragraph" w:styleId="Poprawka">
    <w:name w:val="Revision"/>
    <w:uiPriority w:val="99"/>
    <w:semiHidden/>
    <w:qFormat/>
    <w:rsid w:val="00593D17"/>
  </w:style>
  <w:style w:type="paragraph" w:styleId="Akapitzlist">
    <w:name w:val="List Paragraph"/>
    <w:basedOn w:val="Normalny"/>
    <w:uiPriority w:val="34"/>
    <w:qFormat/>
    <w:rsid w:val="0053735A"/>
    <w:pPr>
      <w:ind w:left="720"/>
      <w:contextualSpacing/>
    </w:pPr>
  </w:style>
  <w:style w:type="paragraph" w:styleId="Indeks1">
    <w:name w:val="index 1"/>
    <w:basedOn w:val="Normalny"/>
    <w:next w:val="Normalny"/>
    <w:autoRedefine/>
    <w:semiHidden/>
    <w:qFormat/>
    <w:rsid w:val="002436D7"/>
    <w:pPr>
      <w:numPr>
        <w:numId w:val="5"/>
      </w:numPr>
      <w:spacing w:before="120" w:after="120" w:line="240" w:lineRule="auto"/>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0C63B2"/>
    <w:pPr>
      <w:spacing w:after="0" w:line="240" w:lineRule="auto"/>
    </w:pPr>
    <w:rPr>
      <w:sz w:val="20"/>
      <w:szCs w:val="20"/>
    </w:rPr>
  </w:style>
  <w:style w:type="paragraph" w:customStyle="1" w:styleId="TableText">
    <w:name w:val="Table Text"/>
    <w:basedOn w:val="Normalny"/>
    <w:qFormat/>
    <w:rsid w:val="00C27B72"/>
    <w:pPr>
      <w:spacing w:after="0" w:line="240" w:lineRule="auto"/>
    </w:pPr>
    <w:rPr>
      <w:rFonts w:ascii="Arial" w:eastAsia="Times New Roman" w:hAnsi="Arial" w:cs="Times New Roman"/>
      <w:sz w:val="16"/>
      <w:szCs w:val="20"/>
      <w:lang w:val="en-US"/>
    </w:rPr>
  </w:style>
  <w:style w:type="paragraph" w:customStyle="1" w:styleId="Tekstpodstawowybodytext">
    <w:name w:val="Tekst podstawowy.body text"/>
    <w:basedOn w:val="Normalny"/>
    <w:qFormat/>
    <w:rsid w:val="00C27B72"/>
    <w:pPr>
      <w:widowControl w:val="0"/>
      <w:spacing w:before="120" w:after="120" w:line="240" w:lineRule="auto"/>
      <w:ind w:left="2520"/>
    </w:pPr>
    <w:rPr>
      <w:rFonts w:ascii="Book Antiqua" w:eastAsia="Times New Roman" w:hAnsi="Book Antiqua" w:cs="Times New Roman"/>
      <w:sz w:val="20"/>
      <w:szCs w:val="20"/>
      <w:lang w:eastAsia="pl-PL"/>
    </w:rPr>
  </w:style>
  <w:style w:type="paragraph" w:styleId="Nagwekindeksu">
    <w:name w:val="index heading"/>
    <w:basedOn w:val="Nagwek"/>
  </w:style>
  <w:style w:type="paragraph" w:styleId="Nagwekspisutreci">
    <w:name w:val="TOC Heading"/>
    <w:basedOn w:val="Nagwek1"/>
    <w:next w:val="Normalny"/>
    <w:uiPriority w:val="39"/>
    <w:unhideWhenUsed/>
    <w:qFormat/>
    <w:rsid w:val="00C27B72"/>
    <w:pPr>
      <w:outlineLvl w:val="9"/>
    </w:pPr>
    <w:rPr>
      <w:lang w:eastAsia="pl-PL"/>
    </w:rPr>
  </w:style>
  <w:style w:type="paragraph" w:styleId="Spistreci1">
    <w:name w:val="toc 1"/>
    <w:basedOn w:val="Normalny"/>
    <w:next w:val="Normalny"/>
    <w:autoRedefine/>
    <w:uiPriority w:val="39"/>
    <w:unhideWhenUsed/>
    <w:rsid w:val="00F85CCA"/>
    <w:pPr>
      <w:tabs>
        <w:tab w:val="right" w:leader="dot" w:pos="9060"/>
      </w:tabs>
      <w:spacing w:after="100"/>
    </w:pPr>
  </w:style>
  <w:style w:type="paragraph" w:styleId="Spistreci3">
    <w:name w:val="toc 3"/>
    <w:basedOn w:val="Normalny"/>
    <w:next w:val="Normalny"/>
    <w:autoRedefine/>
    <w:uiPriority w:val="39"/>
    <w:semiHidden/>
    <w:unhideWhenUsed/>
    <w:rsid w:val="00021AAD"/>
    <w:pPr>
      <w:spacing w:after="100"/>
      <w:ind w:left="440"/>
    </w:pPr>
  </w:style>
  <w:style w:type="paragraph" w:styleId="Spistreci2">
    <w:name w:val="toc 2"/>
    <w:basedOn w:val="Normalny"/>
    <w:next w:val="Normalny"/>
    <w:autoRedefine/>
    <w:uiPriority w:val="39"/>
    <w:unhideWhenUsed/>
    <w:rsid w:val="00FD2FDC"/>
    <w:pPr>
      <w:spacing w:after="100"/>
      <w:ind w:left="220"/>
    </w:pPr>
  </w:style>
  <w:style w:type="table" w:styleId="Tabela-Siatka">
    <w:name w:val="Table Grid"/>
    <w:basedOn w:val="Standardowy"/>
    <w:uiPriority w:val="59"/>
    <w:rsid w:val="004C1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4C1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4C1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4C1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sid w:val="002109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9C76F-AD92-4D3B-8153-FD17A8D3C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8</Pages>
  <Words>2585</Words>
  <Characters>15514</Characters>
  <Application>Microsoft Office Word</Application>
  <DocSecurity>0</DocSecurity>
  <Lines>129</Lines>
  <Paragraphs>36</Paragraphs>
  <ScaleCrop>false</ScaleCrop>
  <Company>Bank BPS S.A.</Company>
  <LinksUpToDate>false</LinksUpToDate>
  <CharactersWithSpaces>18063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Radowski</dc:creator>
  <dc:description/>
  <cp:lastModifiedBy>Iwona Krzymowska</cp:lastModifiedBy>
  <cp:revision>19</cp:revision>
  <cp:lastPrinted>2024-04-15T09:14:00Z</cp:lastPrinted>
  <dcterms:created xsi:type="dcterms:W3CDTF">2024-05-06T06:47:00Z</dcterms:created>
  <dcterms:modified xsi:type="dcterms:W3CDTF">2024-06-06T10:17:00Z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SClassificationDate">
    <vt:lpwstr>2017-12-04T09:04:56.9821810+01:00</vt:lpwstr>
  </property>
  <property fmtid="{D5CDD505-2E9C-101B-9397-08002B2CF9AE}" pid="3" name="BPSClassifiedBy">
    <vt:lpwstr>BANK\katarzyna.zmudzka;Katarzyna Żmudzka</vt:lpwstr>
  </property>
  <property fmtid="{D5CDD505-2E9C-101B-9397-08002B2CF9AE}" pid="4" name="BPSGRNItemId">
    <vt:lpwstr>GRN-7945ebe4-d27c-4c22-9ef4-2868121ea2e5</vt:lpwstr>
  </property>
  <property fmtid="{D5CDD505-2E9C-101B-9397-08002B2CF9AE}" pid="5" name="BPSHash">
    <vt:lpwstr>El8nzTFG90Z9HbaiRU7rtUhgHS54ggiq8NWhzCjSWjs=</vt:lpwstr>
  </property>
  <property fmtid="{D5CDD505-2E9C-101B-9397-08002B2CF9AE}" pid="6" name="BPSKATEGORIA">
    <vt:lpwstr>Do-uz-wewnetrznego</vt:lpwstr>
  </property>
  <property fmtid="{D5CDD505-2E9C-101B-9397-08002B2CF9AE}" pid="7" name="BPSRefresh">
    <vt:lpwstr>False</vt:lpwstr>
  </property>
</Properties>
</file>